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b/>
          <w:bCs/>
          <w:sz w:val="72"/>
          <w:szCs w:val="72"/>
          <w:highlight w:val="none"/>
        </w:rPr>
      </w:pPr>
      <w:r>
        <w:rPr>
          <w:rFonts w:ascii="Arial" w:hAnsi="Arial" w:eastAsia="黑体"/>
          <w:b/>
          <w:bCs/>
          <w:sz w:val="72"/>
          <w:szCs w:val="72"/>
          <w:highlight w:val="none"/>
        </w:rPr>
      </w:r>
      <w:r/>
    </w:p>
    <w:p>
      <w:pPr>
        <w:jc w:val="center"/>
        <w:spacing w:before="120" w:after="120" w:line="360" w:lineRule="auto"/>
        <w:rPr>
          <w:rFonts w:ascii="Arial" w:hAnsi="Arial" w:eastAsia="黑体"/>
          <w:b/>
          <w:bCs/>
          <w:sz w:val="72"/>
          <w:szCs w:val="72"/>
          <w:highlight w:val="none"/>
        </w:rPr>
      </w:pPr>
      <w:r>
        <w:rPr>
          <w:rFonts w:hint="eastAsia" w:ascii="Arial" w:hAnsi="Arial" w:eastAsia="黑体"/>
          <w:b/>
          <w:bCs/>
          <w:sz w:val="72"/>
          <w:szCs w:val="72"/>
          <w:highlight w:val="none"/>
        </w:rPr>
        <w:t xml:space="preserve">招　标　文　件</w:t>
      </w:r>
      <w:r/>
    </w:p>
    <w:p>
      <w:pPr>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jc w:val="left"/>
        <w:spacing w:line="360" w:lineRule="auto"/>
        <w:rPr>
          <w:rFonts w:ascii="Arial" w:hAnsi="Arial"/>
          <w:b/>
          <w:bCs/>
          <w:sz w:val="32"/>
          <w:szCs w:val="32"/>
          <w:highlight w:val="none"/>
        </w:rPr>
      </w:pPr>
      <w:r>
        <w:rPr>
          <w:rFonts w:ascii="Arial" w:hAnsi="Arial"/>
          <w:b/>
          <w:bCs/>
          <w:sz w:val="32"/>
          <w:szCs w:val="32"/>
          <w:highlight w:val="none"/>
        </w:rPr>
      </w:r>
      <w:r/>
    </w:p>
    <w:p>
      <w:pPr>
        <w:ind w:left="1260"/>
        <w:jc w:val="left"/>
        <w:spacing w:line="360" w:lineRule="auto"/>
        <w:rPr>
          <w:rFonts w:hint="eastAsia" w:ascii="经典仿宋简" w:hAnsi="经典仿宋简" w:cs="经典仿宋简"/>
          <w:sz w:val="32"/>
          <w:szCs w:val="32"/>
          <w:highlight w:val="none"/>
        </w:rPr>
      </w:pPr>
      <w:r>
        <w:rPr>
          <w:rFonts w:hint="eastAsia" w:ascii="Arial" w:hAnsi="Arial"/>
          <w:b/>
          <w:bCs/>
          <w:sz w:val="32"/>
          <w:szCs w:val="32"/>
          <w:highlight w:val="none"/>
        </w:rPr>
        <w:t xml:space="preserve">项目名称：</w:t>
      </w:r>
      <w:r>
        <w:rPr>
          <w:rFonts w:hint="eastAsia" w:ascii="经典仿宋简" w:hAnsi="经典仿宋简" w:eastAsia="经典仿宋简" w:cs="经典仿宋简"/>
          <w:sz w:val="32"/>
          <w:szCs w:val="32"/>
          <w:highlight w:val="none"/>
        </w:rPr>
        <w:t xml:space="preserve">灌南县“人工智能+教育创新应用”工程项目3</w:t>
      </w:r>
      <w:r/>
    </w:p>
    <w:p>
      <w:pPr>
        <w:ind w:left="1260"/>
        <w:jc w:val="left"/>
        <w:spacing w:line="360" w:lineRule="auto"/>
        <w:rPr>
          <w:rFonts w:hint="eastAsia" w:ascii="Arial" w:hAnsi="Arial"/>
          <w:b/>
          <w:bCs/>
          <w:sz w:val="32"/>
          <w:szCs w:val="32"/>
          <w:highlight w:val="none"/>
        </w:rPr>
      </w:pPr>
      <w:r>
        <w:rPr>
          <w:rFonts w:hint="eastAsia" w:ascii="Arial" w:hAnsi="Arial"/>
          <w:b/>
          <w:bCs/>
          <w:sz w:val="32"/>
          <w:szCs w:val="32"/>
          <w:highlight w:val="none"/>
        </w:rPr>
        <w:t xml:space="preserve">项目编号：</w:t>
      </w:r>
      <w:r>
        <w:rPr>
          <w:rFonts w:hint="eastAsia" w:ascii="经典仿宋简" w:hAnsi="经典仿宋简" w:eastAsia="经典仿宋简" w:cs="经典仿宋简"/>
          <w:sz w:val="32"/>
          <w:szCs w:val="32"/>
          <w:highlight w:val="none"/>
        </w:rPr>
        <w:t xml:space="preserve">JSZC-320724-HCCG-G2025-0104</w:t>
      </w:r>
      <w:r/>
    </w:p>
    <w:p>
      <w:pPr>
        <w:ind w:left="1260"/>
        <w:jc w:val="left"/>
        <w:spacing w:line="360" w:lineRule="auto"/>
        <w:rPr>
          <w:rFonts w:hint="eastAsia" w:ascii="经典仿宋简" w:hAnsi="经典仿宋简" w:cs="经典仿宋简"/>
          <w:sz w:val="32"/>
          <w:szCs w:val="32"/>
          <w:highlight w:val="none"/>
        </w:rPr>
      </w:pPr>
      <w:r>
        <w:rPr>
          <w:rFonts w:hint="eastAsia" w:ascii="经典仿宋简" w:hAnsi="经典仿宋简" w:cs="经典仿宋简"/>
          <w:sz w:val="32"/>
          <w:szCs w:val="32"/>
          <w:highlight w:val="none"/>
        </w:rPr>
      </w:r>
      <w:r/>
    </w:p>
    <w:p>
      <w:pPr>
        <w:ind w:left="2100" w:hanging="2100"/>
        <w:rPr>
          <w:b/>
          <w:sz w:val="30"/>
          <w:szCs w:val="30"/>
          <w:highlight w:val="none"/>
        </w:rPr>
      </w:pPr>
      <w:r>
        <w:rPr>
          <w:rFonts w:hint="eastAsia"/>
          <w:szCs w:val="21"/>
          <w:highlight w:val="none"/>
        </w:rPr>
        <w:t xml:space="preserve">           </w:t>
      </w:r>
      <w:r>
        <w:rPr>
          <w:rFonts w:hint="eastAsia"/>
          <w:b/>
          <w:sz w:val="30"/>
          <w:szCs w:val="30"/>
          <w:highlight w:val="none"/>
        </w:rPr>
        <w:t xml:space="preserve">    </w:t>
      </w:r>
      <w:r/>
    </w:p>
    <w:p>
      <w:pPr>
        <w:ind w:left="3012" w:hanging="3012"/>
        <w:rPr>
          <w:b/>
          <w:sz w:val="30"/>
          <w:szCs w:val="30"/>
          <w:highlight w:val="none"/>
        </w:rPr>
      </w:pPr>
      <w:r>
        <w:rPr>
          <w:b/>
          <w:sz w:val="30"/>
          <w:szCs w:val="30"/>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center"/>
        <w:spacing w:line="360" w:lineRule="auto"/>
        <w:rPr>
          <w:rFonts w:ascii="宋体" w:hAnsi="宋体"/>
          <w:sz w:val="24"/>
          <w:szCs w:val="24"/>
          <w:highlight w:val="none"/>
          <w:u w:val="single"/>
        </w:rPr>
      </w:pPr>
      <w:r>
        <w:rPr>
          <w:rFonts w:hint="eastAsia" w:ascii="宋体" w:hAnsi="宋体"/>
          <w:sz w:val="24"/>
          <w:szCs w:val="24"/>
          <w:highlight w:val="none"/>
          <w:u w:val="single"/>
        </w:rPr>
        <w:t xml:space="preserve">（本招标文件技术参数、评分标准等经采购人同意，根据相应文件制作，符合采购人要求，同意按此文件发布信息）</w:t>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ind w:left="1260"/>
        <w:jc w:val="left"/>
        <w:spacing w:line="360" w:lineRule="auto"/>
        <w:rPr>
          <w:rFonts w:ascii="Arial" w:hAnsi="Arial"/>
          <w:sz w:val="32"/>
          <w:szCs w:val="32"/>
          <w:highlight w:val="none"/>
        </w:rPr>
      </w:pPr>
      <w:r>
        <w:rPr>
          <w:rFonts w:hint="eastAsia" w:ascii="Arial" w:hAnsi="Arial"/>
          <w:sz w:val="32"/>
          <w:szCs w:val="32"/>
          <w:highlight w:val="none"/>
        </w:rPr>
        <w:t xml:space="preserve">采   购   人：灌南县教育局</w:t>
      </w:r>
      <w:r/>
    </w:p>
    <w:p>
      <w:pPr>
        <w:ind w:left="1260"/>
        <w:jc w:val="left"/>
        <w:spacing w:line="360" w:lineRule="auto"/>
        <w:rPr>
          <w:rFonts w:ascii="Arial" w:hAnsi="Arial"/>
          <w:sz w:val="32"/>
          <w:szCs w:val="32"/>
          <w:highlight w:val="none"/>
        </w:rPr>
      </w:pPr>
      <w:r>
        <w:rPr>
          <w:rFonts w:hint="eastAsia" w:ascii="Arial" w:hAnsi="Arial"/>
          <w:sz w:val="32"/>
          <w:szCs w:val="32"/>
          <w:highlight w:val="none"/>
        </w:rPr>
        <w:t xml:space="preserve">采购代理机构：江苏鸿成工程项目管理有限公司</w:t>
      </w:r>
      <w:r/>
    </w:p>
    <w:p>
      <w:pPr>
        <w:jc w:val="center"/>
        <w:spacing w:line="360" w:lineRule="auto"/>
        <w:rPr>
          <w:rFonts w:ascii="Arial" w:hAnsi="Arial"/>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Arial" w:hAnsi="Arial"/>
          <w:sz w:val="32"/>
          <w:szCs w:val="32"/>
          <w:highlight w:val="none"/>
        </w:rPr>
        <w:t xml:space="preserve">2025年</w:t>
      </w:r>
      <w:r>
        <w:rPr>
          <w:rFonts w:hint="eastAsia" w:ascii="Arial" w:hAnsi="Arial"/>
          <w:sz w:val="32"/>
          <w:szCs w:val="32"/>
          <w:highlight w:val="none"/>
          <w:lang w:val="en-US" w:eastAsia="zh-CN"/>
        </w:rPr>
        <w:t xml:space="preserve">10</w:t>
      </w:r>
      <w:r>
        <w:rPr>
          <w:rFonts w:hint="eastAsia" w:ascii="Arial" w:hAnsi="Arial"/>
          <w:sz w:val="32"/>
          <w:szCs w:val="32"/>
          <w:highlight w:val="none"/>
        </w:rPr>
        <w:t xml:space="preserve">月</w:t>
      </w:r>
      <w:bookmarkStart w:id="0" w:name="_Toc120614210"/>
      <w:r/>
      <w:bookmarkStart w:id="1" w:name="_Toc16938516"/>
      <w:r/>
      <w:bookmarkStart w:id="2" w:name="_Toc20823272"/>
      <w:r/>
      <w:bookmarkStart w:id="3" w:name="_Toc523127445"/>
      <w:r/>
      <w:bookmarkStart w:id="4" w:name="_Toc479757206"/>
      <w:r/>
      <w:bookmarkStart w:id="5" w:name="_Toc513029200"/>
      <w:r/>
      <w:r/>
    </w:p>
    <w:p>
      <w:pPr>
        <w:jc w:val="center"/>
        <w:spacing w:line="360" w:lineRule="auto"/>
        <w:rPr>
          <w:rFonts w:ascii="黑体" w:hAnsi="Arial" w:eastAsia="黑体"/>
          <w:b/>
          <w:sz w:val="44"/>
          <w:szCs w:val="21"/>
          <w:highlight w:val="none"/>
        </w:rPr>
      </w:pPr>
      <w:r>
        <w:rPr>
          <w:rFonts w:hint="eastAsia" w:ascii="黑体" w:hAnsi="Arial" w:eastAsia="黑体"/>
          <w:b/>
          <w:sz w:val="44"/>
          <w:szCs w:val="21"/>
          <w:highlight w:val="none"/>
        </w:rPr>
        <w:t xml:space="preserve">总  目  录</w:t>
      </w:r>
      <w:r/>
    </w:p>
    <w:p>
      <w:pPr>
        <w:rPr>
          <w:szCs w:val="21"/>
          <w:highlight w:val="none"/>
        </w:rPr>
      </w:pPr>
      <w:r>
        <w:rPr>
          <w:szCs w:val="21"/>
          <w:highlight w:val="none"/>
        </w:rPr>
      </w:r>
      <w:r/>
    </w:p>
    <w:p>
      <w:pPr>
        <w:pStyle w:val="958"/>
        <w:tabs>
          <w:tab w:val="right" w:pos="8953" w:leader="dot"/>
        </w:tabs>
        <w:rPr>
          <w:highlight w:val="none"/>
        </w:rPr>
      </w:pPr>
      <w:r>
        <w:rPr>
          <w:rFonts w:hint="eastAsia" w:cs="宋体"/>
          <w:highlight w:val="none"/>
        </w:rPr>
        <w:fldChar w:fldCharType="begin"/>
      </w:r>
      <w:r>
        <w:rPr>
          <w:rFonts w:hint="eastAsia" w:cs="宋体"/>
          <w:highlight w:val="none"/>
        </w:rPr>
        <w:instrText xml:space="preserve">TOC \o "1-3" \h \u </w:instrText>
      </w:r>
      <w:r>
        <w:rPr>
          <w:rFonts w:hint="eastAsia" w:cs="宋体"/>
          <w:highlight w:val="none"/>
        </w:rPr>
        <w:fldChar w:fldCharType="separate"/>
      </w:r>
      <w:r>
        <w:rPr>
          <w:highlight w:val="none"/>
        </w:rPr>
        <w:fldChar w:fldCharType="begin"/>
      </w:r>
      <w:r>
        <w:rPr>
          <w:highlight w:val="none"/>
        </w:rPr>
        <w:instrText xml:space="preserve"> HYPERLINK \l "_Toc13435" </w:instrText>
      </w:r>
      <w:r>
        <w:rPr>
          <w:highlight w:val="none"/>
        </w:rPr>
        <w:fldChar w:fldCharType="separate"/>
      </w:r>
      <w:r>
        <w:rPr>
          <w:rFonts w:hint="eastAsia"/>
          <w:highlight w:val="none"/>
        </w:rPr>
        <w:t xml:space="preserve">第一章  投标邀请</w:t>
      </w:r>
      <w:r>
        <w:rPr>
          <w:highlight w:val="none"/>
        </w:rPr>
        <w:tab/>
      </w:r>
      <w:r>
        <w:rPr>
          <w:highlight w:val="none"/>
        </w:rPr>
        <w:fldChar w:fldCharType="begin"/>
      </w:r>
      <w:r>
        <w:rPr>
          <w:highlight w:val="none"/>
        </w:rPr>
        <w:instrText xml:space="preserve"> PAGEREF _Toc13435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964"/>
        <w:ind w:left="0"/>
        <w:tabs>
          <w:tab w:val="right" w:pos="8953" w:leader="dot"/>
        </w:tabs>
        <w:rPr>
          <w:highlight w:val="none"/>
        </w:rPr>
      </w:pPr>
      <w:r>
        <w:rPr>
          <w:highlight w:val="none"/>
        </w:rPr>
        <w:fldChar w:fldCharType="begin"/>
      </w:r>
      <w:r>
        <w:rPr>
          <w:highlight w:val="none"/>
        </w:rPr>
        <w:instrText xml:space="preserve"> HYPERLINK \l "_Toc14204" </w:instrText>
      </w:r>
      <w:r>
        <w:rPr>
          <w:highlight w:val="none"/>
        </w:rPr>
        <w:fldChar w:fldCharType="separate"/>
      </w:r>
      <w:r>
        <w:rPr>
          <w:rFonts w:hint="eastAsia"/>
          <w:highlight w:val="none"/>
        </w:rPr>
        <w:t xml:space="preserve">第二章  投标人须知</w:t>
      </w:r>
      <w:r>
        <w:rPr>
          <w:highlight w:val="none"/>
        </w:rPr>
        <w:tab/>
      </w:r>
      <w:r>
        <w:rPr>
          <w:highlight w:val="none"/>
        </w:rPr>
        <w:fldChar w:fldCharType="begin"/>
      </w:r>
      <w:r>
        <w:rPr>
          <w:highlight w:val="none"/>
        </w:rPr>
        <w:instrText xml:space="preserve"> PAGEREF _Toc14204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958"/>
        <w:tabs>
          <w:tab w:val="right" w:pos="8953" w:leader="dot"/>
        </w:tabs>
        <w:rPr>
          <w:highlight w:val="none"/>
        </w:rPr>
      </w:pPr>
      <w:r>
        <w:rPr>
          <w:highlight w:val="none"/>
        </w:rPr>
        <w:fldChar w:fldCharType="begin"/>
      </w:r>
      <w:r>
        <w:rPr>
          <w:highlight w:val="none"/>
        </w:rPr>
        <w:instrText xml:space="preserve"> HYPERLINK \l "_Toc14282" </w:instrText>
      </w:r>
      <w:r>
        <w:rPr>
          <w:highlight w:val="none"/>
        </w:rPr>
        <w:fldChar w:fldCharType="separate"/>
      </w:r>
      <w:r>
        <w:rPr>
          <w:rFonts w:hint="eastAsia"/>
          <w:highlight w:val="none"/>
        </w:rPr>
        <w:t xml:space="preserve">第三章  合同文本</w:t>
      </w:r>
      <w:r>
        <w:rPr>
          <w:highlight w:val="none"/>
        </w:rPr>
        <w:tab/>
      </w:r>
      <w:r>
        <w:rPr>
          <w:highlight w:val="none"/>
        </w:rPr>
        <w:fldChar w:fldCharType="begin"/>
      </w:r>
      <w:r>
        <w:rPr>
          <w:highlight w:val="none"/>
        </w:rPr>
        <w:instrText xml:space="preserve"> PAGEREF _Toc14282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58"/>
        <w:tabs>
          <w:tab w:val="right" w:pos="8953" w:leader="dot"/>
        </w:tabs>
        <w:rPr>
          <w:highlight w:val="none"/>
        </w:rPr>
      </w:pPr>
      <w:r>
        <w:rPr>
          <w:highlight w:val="none"/>
        </w:rPr>
        <w:fldChar w:fldCharType="begin"/>
      </w:r>
      <w:r>
        <w:rPr>
          <w:highlight w:val="none"/>
        </w:rPr>
        <w:instrText xml:space="preserve"> HYPERLINK \l "_Toc8567" </w:instrText>
      </w:r>
      <w:r>
        <w:rPr>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_Toc8567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64"/>
        <w:ind w:left="0"/>
        <w:tabs>
          <w:tab w:val="right" w:pos="8953" w:leader="dot"/>
        </w:tabs>
        <w:rPr>
          <w:highlight w:val="none"/>
        </w:rPr>
      </w:pPr>
      <w:r>
        <w:rPr>
          <w:highlight w:val="none"/>
        </w:rPr>
        <w:fldChar w:fldCharType="begin"/>
      </w:r>
      <w:r>
        <w:rPr>
          <w:highlight w:val="none"/>
        </w:rPr>
        <w:instrText xml:space="preserve"> HYPERLINK \l "_Toc8739" </w:instrText>
      </w:r>
      <w:r>
        <w:rPr>
          <w:highlight w:val="none"/>
        </w:rPr>
        <w:fldChar w:fldCharType="separate"/>
      </w:r>
      <w:r>
        <w:rPr>
          <w:rFonts w:hint="eastAsia"/>
          <w:highlight w:val="none"/>
        </w:rPr>
        <w:t xml:space="preserve">第五章  评标方法与评标标准</w:t>
      </w:r>
      <w:r>
        <w:rPr>
          <w:highlight w:val="none"/>
        </w:rPr>
        <w:tab/>
      </w:r>
      <w:r>
        <w:rPr>
          <w:highlight w:val="none"/>
        </w:rPr>
        <w:fldChar w:fldCharType="begin"/>
      </w:r>
      <w:r>
        <w:rPr>
          <w:highlight w:val="none"/>
        </w:rPr>
        <w:instrText xml:space="preserve"> PAGEREF _Toc8739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pStyle w:val="958"/>
        <w:tabs>
          <w:tab w:val="right" w:pos="8953" w:leader="dot"/>
        </w:tabs>
        <w:rPr>
          <w:highlight w:val="none"/>
        </w:rPr>
      </w:pPr>
      <w:r>
        <w:rPr>
          <w:highlight w:val="none"/>
        </w:rPr>
        <w:fldChar w:fldCharType="begin"/>
      </w:r>
      <w:r>
        <w:rPr>
          <w:highlight w:val="none"/>
        </w:rPr>
        <w:instrText xml:space="preserve"> HYPERLINK \l "_Toc15574" </w:instrText>
      </w:r>
      <w:r>
        <w:rPr>
          <w:highlight w:val="none"/>
        </w:rPr>
        <w:fldChar w:fldCharType="separate"/>
      </w:r>
      <w:r>
        <w:rPr>
          <w:rFonts w:hint="eastAsia"/>
          <w:highlight w:val="none"/>
        </w:rPr>
        <w:t xml:space="preserve">第六章  投标文件格式</w:t>
      </w:r>
      <w:r>
        <w:rPr>
          <w:highlight w:val="none"/>
        </w:rPr>
        <w:tab/>
      </w:r>
      <w:r>
        <w:rPr>
          <w:highlight w:val="none"/>
        </w:rPr>
        <w:fldChar w:fldCharType="begin"/>
      </w:r>
      <w:r>
        <w:rPr>
          <w:highlight w:val="none"/>
        </w:rPr>
        <w:instrText xml:space="preserve"> PAGEREF _Toc15574 \h </w:instrText>
      </w:r>
      <w:r>
        <w:rPr>
          <w:highlight w:val="none"/>
        </w:rPr>
        <w:fldChar w:fldCharType="separate"/>
      </w:r>
      <w:r>
        <w:rPr>
          <w:highlight w:val="none"/>
        </w:rPr>
        <w:t xml:space="preserve">47</w:t>
      </w:r>
      <w:r>
        <w:rPr>
          <w:highlight w:val="none"/>
        </w:rPr>
        <w:fldChar w:fldCharType="end"/>
      </w:r>
      <w:r>
        <w:rPr>
          <w:highlight w:val="none"/>
        </w:rPr>
        <w:fldChar w:fldCharType="end"/>
      </w:r>
      <w:r/>
    </w:p>
    <w:p>
      <w:pPr>
        <w:pStyle w:val="958"/>
        <w:tabs>
          <w:tab w:val="right" w:pos="8953" w:leader="dot"/>
        </w:tabs>
        <w:rPr>
          <w:highlight w:val="none"/>
        </w:rPr>
      </w:pPr>
      <w:r>
        <w:rPr>
          <w:highlight w:val="none"/>
        </w:rPr>
      </w:r>
      <w:r/>
    </w:p>
    <w:p>
      <w:pPr>
        <w:rPr>
          <w:rFonts w:ascii="宋体" w:hAnsi="宋体" w:cs="宋体"/>
          <w:sz w:val="24"/>
          <w:szCs w:val="24"/>
          <w:highlight w:val="none"/>
        </w:rPr>
      </w:pPr>
      <w:r>
        <w:rPr>
          <w:rFonts w:hint="eastAsia" w:ascii="宋体" w:hAnsi="宋体" w:cs="宋体"/>
          <w:szCs w:val="24"/>
          <w:highlight w:val="none"/>
        </w:rPr>
        <w:fldChar w:fldCharType="end"/>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jc w:val="center"/>
        <w:keepNext/>
        <w:rPr>
          <w:rStyle w:val="1138"/>
          <w:highlight w:val="none"/>
        </w:rPr>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13393"/>
      <w:r/>
      <w:bookmarkStart w:id="7" w:name="_Toc8382"/>
      <w:r/>
      <w:bookmarkStart w:id="8" w:name="_Toc28155"/>
      <w:r/>
      <w:r/>
    </w:p>
    <w:p>
      <w:pPr>
        <w:jc w:val="center"/>
        <w:keepNext/>
        <w:spacing w:line="360" w:lineRule="auto"/>
        <w:rPr>
          <w:rFonts w:ascii="黑体" w:eastAsia="黑体"/>
          <w:bCs/>
          <w:sz w:val="44"/>
          <w:szCs w:val="44"/>
          <w:highlight w:val="none"/>
        </w:rPr>
        <w:outlineLvl w:val="0"/>
      </w:pPr>
      <w:r/>
      <w:bookmarkStart w:id="9" w:name="_Toc13435"/>
      <w:r>
        <w:rPr>
          <w:rStyle w:val="1138"/>
          <w:rFonts w:hint="eastAsia"/>
          <w:highlight w:val="none"/>
        </w:rPr>
        <w:t xml:space="preserve">第一章  </w:t>
      </w:r>
      <w:bookmarkEnd w:id="0"/>
      <w:r>
        <w:rPr>
          <w:rStyle w:val="1138"/>
          <w:rFonts w:hint="eastAsia"/>
          <w:highlight w:val="none"/>
        </w:rPr>
        <w:t xml:space="preserve">投标邀请</w:t>
      </w:r>
      <w:bookmarkEnd w:id="6"/>
      <w:r/>
      <w:bookmarkEnd w:id="7"/>
      <w:r/>
      <w:bookmarkEnd w:id="8"/>
      <w:r/>
      <w:bookmarkEnd w:id="9"/>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受[灌南县教育局]的委托，江苏鸿成工程项目管理有限公司就[灌南县“人工智能+教育创新应用”工程项目3](（系统生成编号）)项目进行公开招标采购，欢迎符合条件的投标人投标。</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(灌南县“人工智能+教育创新应用”工程项目3</w:t>
      </w:r>
      <w:r>
        <w:rPr>
          <w:rFonts w:ascii="宋体" w:hAnsi="宋体"/>
          <w:sz w:val="24"/>
          <w:szCs w:val="24"/>
          <w:highlight w:val="none"/>
          <w:u w:val="single"/>
        </w:rPr>
        <w:t xml:space="preserve">)</w:t>
      </w:r>
      <w:r>
        <w:rPr>
          <w:rFonts w:hint="eastAsia" w:ascii="宋体" w:hAnsi="宋体"/>
          <w:sz w:val="24"/>
          <w:szCs w:val="24"/>
          <w:highlight w:val="none"/>
        </w:rPr>
        <w:t xml:space="preserve"> 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2025年12月05日10点00分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ind w:firstLine="498"/>
        <w:keepLines/>
        <w:keepNext/>
        <w:spacing w:line="360" w:lineRule="auto"/>
        <w:rPr>
          <w:b/>
          <w:bCs/>
          <w:sz w:val="32"/>
          <w:szCs w:val="32"/>
          <w:highlight w:val="none"/>
        </w:rPr>
        <w:outlineLvl w:val="2"/>
      </w:pPr>
      <w:r/>
      <w:bookmarkStart w:id="10" w:name="_Toc28359002"/>
      <w:r/>
      <w:bookmarkStart w:id="11" w:name="_Toc38985263"/>
      <w:r/>
      <w:bookmarkStart w:id="12" w:name="_Toc20316"/>
      <w:r/>
      <w:bookmarkStart w:id="13" w:name="_Toc35393790"/>
      <w:r/>
      <w:bookmarkStart w:id="14" w:name="_Toc7199"/>
      <w:r/>
      <w:bookmarkStart w:id="15" w:name="_Toc3964"/>
      <w:r/>
      <w:bookmarkStart w:id="16" w:name="_Toc26126"/>
      <w:r/>
      <w:bookmarkStart w:id="17" w:name="_Toc35393621"/>
      <w:r/>
      <w:bookmarkStart w:id="18" w:name="_Toc32717"/>
      <w:r/>
      <w:bookmarkStart w:id="19" w:name="_Toc28359079"/>
      <w:r/>
      <w:bookmarkStart w:id="20" w:name="_Hlk24379207"/>
      <w:r>
        <w:rPr>
          <w:rFonts w:hint="eastAsia"/>
          <w:b/>
          <w:bCs/>
          <w:sz w:val="32"/>
          <w:szCs w:val="32"/>
          <w:highlight w:val="none"/>
        </w:rPr>
        <w:t xml:space="preserve">一、项目基本情况</w:t>
      </w:r>
      <w:bookmarkEnd w:id="10"/>
      <w:r/>
      <w:bookmarkEnd w:id="11"/>
      <w:r/>
      <w:bookmarkEnd w:id="12"/>
      <w:r/>
      <w:bookmarkEnd w:id="13"/>
      <w:r/>
      <w:bookmarkEnd w:id="14"/>
      <w:r/>
      <w:bookmarkEnd w:id="15"/>
      <w:r/>
      <w:bookmarkEnd w:id="16"/>
      <w:r/>
      <w:bookmarkEnd w:id="17"/>
      <w:r/>
      <w:bookmarkEnd w:id="18"/>
      <w:r/>
      <w:bookmarkEnd w:id="19"/>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1.项目编号：JSZC-320724-HCCG-G2025-0104</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2.项目名称：</w:t>
      </w:r>
      <w:bookmarkEnd w:id="20"/>
      <w:r>
        <w:rPr>
          <w:rFonts w:hint="eastAsia" w:ascii="宋体" w:hAnsi="宋体"/>
          <w:sz w:val="24"/>
          <w:szCs w:val="24"/>
          <w:highlight w:val="none"/>
        </w:rPr>
        <w:t xml:space="preserve">灌南县“人工智能+教育创新应用”工程项目3</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3.预算金额：300万元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设定 </w:t>
      </w:r>
      <w:r>
        <w:rPr>
          <w:rFonts w:hint="eastAsia" w:ascii="宋体" w:hAnsi="宋体"/>
          <w:sz w:val="24"/>
          <w:szCs w:val="24"/>
          <w:highlight w:val="none"/>
        </w:rPr>
        <w:t xml:space="preserve">（设定/不设定）最高限价，最高限价为</w:t>
      </w:r>
      <w:r>
        <w:rPr>
          <w:rFonts w:hint="eastAsia" w:ascii="宋体" w:hAnsi="宋体"/>
          <w:sz w:val="24"/>
          <w:szCs w:val="24"/>
          <w:highlight w:val="none"/>
          <w:u w:val="single"/>
        </w:rPr>
        <w:t xml:space="preserve"> 300 </w:t>
      </w:r>
      <w:r>
        <w:rPr>
          <w:rFonts w:hint="eastAsia" w:ascii="宋体" w:hAnsi="宋体"/>
          <w:sz w:val="24"/>
          <w:szCs w:val="24"/>
          <w:highlight w:val="none"/>
        </w:rPr>
        <w:t xml:space="preserve">万元，投标人所报的投标报价超过最高限价的投标无效。</w:t>
      </w:r>
      <w:bookmarkStart w:id="341" w:name="_GoBack"/>
      <w:r/>
      <w:bookmarkEnd w:id="341"/>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5.采购需求(简介)：灌南县“人工智能+教育创新应用”工程项目3，建设人工智能教室，配备创意编程设备及相关课程资源，开展人工智能教育课程，培养学生创新思维和实践能力，具体详见招标文件第四章。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对项目采购需求部分的询问、质疑请与采购人联系，由采购人负责答复。</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6.交货期：合同签订后40天内完成安装调试和培训工作。</w:t>
      </w:r>
      <w:r/>
    </w:p>
    <w:p>
      <w:pPr>
        <w:ind w:firstLine="498"/>
        <w:keepLines/>
        <w:keepNext/>
        <w:spacing w:line="360" w:lineRule="auto"/>
        <w:rPr>
          <w:b/>
          <w:bCs/>
          <w:sz w:val="32"/>
          <w:szCs w:val="32"/>
          <w:highlight w:val="none"/>
        </w:rPr>
        <w:outlineLvl w:val="2"/>
      </w:pPr>
      <w:r/>
      <w:bookmarkStart w:id="21" w:name="_Toc38985264"/>
      <w:r/>
      <w:bookmarkStart w:id="22" w:name="_Toc35393791"/>
      <w:r/>
      <w:bookmarkStart w:id="23" w:name="_Toc16976"/>
      <w:r/>
      <w:bookmarkStart w:id="24" w:name="_Toc6997"/>
      <w:r/>
      <w:bookmarkStart w:id="25" w:name="_Toc3852"/>
      <w:r/>
      <w:bookmarkStart w:id="26" w:name="_Toc16946"/>
      <w:r/>
      <w:bookmarkStart w:id="27" w:name="_Toc35393622"/>
      <w:r/>
      <w:bookmarkStart w:id="28" w:name="_Toc22779"/>
      <w:r/>
      <w:bookmarkStart w:id="29" w:name="_Toc28359080"/>
      <w:r/>
      <w:bookmarkStart w:id="30" w:name="_Toc28359003"/>
      <w:r>
        <w:rPr>
          <w:rFonts w:hint="eastAsia"/>
          <w:b/>
          <w:bCs/>
          <w:sz w:val="32"/>
          <w:szCs w:val="32"/>
          <w:highlight w:val="none"/>
        </w:rPr>
        <w:t xml:space="preserve">二、申请人的资格要求：</w:t>
      </w:r>
      <w:bookmarkEnd w:id="21"/>
      <w:r/>
      <w:bookmarkEnd w:id="22"/>
      <w:r/>
      <w:bookmarkEnd w:id="23"/>
      <w:r/>
      <w:bookmarkEnd w:id="24"/>
      <w:r/>
      <w:bookmarkEnd w:id="25"/>
      <w:r/>
      <w:bookmarkEnd w:id="26"/>
      <w:r/>
      <w:bookmarkEnd w:id="27"/>
      <w:r/>
      <w:bookmarkEnd w:id="28"/>
      <w:r/>
      <w:bookmarkEnd w:id="29"/>
      <w:r/>
      <w:bookmarkEnd w:id="30"/>
      <w:r/>
      <w:r/>
    </w:p>
    <w:p>
      <w:pPr>
        <w:ind w:firstLine="480"/>
        <w:spacing w:line="360" w:lineRule="auto"/>
        <w:rPr>
          <w:rFonts w:ascii="宋体" w:hAnsi="宋体"/>
          <w:sz w:val="24"/>
          <w:szCs w:val="24"/>
          <w:highlight w:val="none"/>
        </w:rPr>
      </w:pPr>
      <w:r/>
      <w:bookmarkStart w:id="31" w:name="_Toc35393623"/>
      <w:r/>
      <w:bookmarkStart w:id="32" w:name="_Toc28359004"/>
      <w:r/>
      <w:bookmarkStart w:id="33" w:name="_Toc35393792"/>
      <w:r/>
      <w:bookmarkStart w:id="34" w:name="_Toc28359081"/>
      <w:r/>
      <w:bookmarkStart w:id="35"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（1）法人或者其他组织的营业执照等证明文件，自然人的身份证明；</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（2）具有良好的商业信誉和健全的财务会计制度；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（3）依法缴纳税收和社会保障资金的相关材料；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（4）具备履行合同所必需的设备和专业技术能力的书面声明及证明材料；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（5）参加政府采购活动前3年内在经营活动中没有重大违法记录的书面声明。</w:t>
      </w:r>
      <w:bookmarkStart w:id="36" w:name="_Hlk139531395"/>
      <w:r/>
      <w:bookmarkStart w:id="37" w:name="_Hlk139531227"/>
      <w: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根据连财购〔2023〕4号、连财购（2023）9号文件精神</w:t>
      </w:r>
      <w:bookmarkEnd w:id="36"/>
      <w:r>
        <w:rPr>
          <w:rFonts w:hint="eastAsia" w:ascii="宋体" w:hAnsi="宋体"/>
          <w:b/>
          <w:bCs/>
          <w:sz w:val="24"/>
          <w:szCs w:val="24"/>
          <w:highlight w:val="none"/>
        </w:rPr>
        <w:t xml:space="preserve">，第（2）、（3）项可以提供《财务状况报告及税收、社会保障资金缴纳情况承诺函》，不再要求投标人提供相关财务状况、缴纳税收和社会保障资金等证明材料，</w:t>
      </w:r>
      <w:bookmarkEnd w:id="37"/>
      <w:r>
        <w:rPr>
          <w:rFonts w:hint="eastAsia" w:ascii="宋体" w:hAnsi="宋体"/>
          <w:b/>
          <w:bCs/>
          <w:sz w:val="24"/>
          <w:szCs w:val="24"/>
          <w:highlight w:val="none"/>
        </w:rPr>
        <w:t xml:space="preserve">具体格式详见招标文件第六章投标文件格式。</w:t>
      </w:r>
      <w:r/>
    </w:p>
    <w:p>
      <w:pPr>
        <w:ind w:firstLine="480"/>
        <w:spacing w:line="360" w:lineRule="auto"/>
        <w:rPr>
          <w:rFonts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不接受  </w:t>
      </w:r>
      <w:r>
        <w:rPr>
          <w:rFonts w:hint="eastAsia" w:ascii="宋体" w:hAnsi="宋体"/>
          <w:sz w:val="24"/>
          <w:szCs w:val="24"/>
          <w:highlight w:val="none"/>
        </w:rPr>
        <w:t xml:space="preserve">联合体投标。</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（二）本项目的特定资格要求：无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（三）本项目的其他资格要求：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1.本项目不接受进口产品（进口产品是指通过中国海关报关验放进入中国境内且产自关境外的产品）。</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3.本项目中标后不允许分包或转包。</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4.法律、法规规定的其他条件。</w:t>
      </w:r>
      <w:r/>
    </w:p>
    <w:p>
      <w:pPr>
        <w:ind w:firstLine="498"/>
        <w:keepLines/>
        <w:keepNext/>
        <w:spacing w:line="360" w:lineRule="auto"/>
        <w:rPr>
          <w:b/>
          <w:bCs/>
          <w:sz w:val="32"/>
          <w:szCs w:val="32"/>
          <w:highlight w:val="none"/>
        </w:rPr>
        <w:outlineLvl w:val="2"/>
      </w:pPr>
      <w:r/>
      <w:bookmarkStart w:id="38" w:name="_Toc13265"/>
      <w:r/>
      <w:bookmarkStart w:id="39" w:name="_Toc28833"/>
      <w:r/>
      <w:bookmarkStart w:id="40" w:name="_Toc16338"/>
      <w:r/>
      <w:bookmarkStart w:id="41" w:name="_Toc29828"/>
      <w:r/>
      <w:bookmarkStart w:id="42" w:name="_Toc29835"/>
      <w:r>
        <w:rPr>
          <w:rFonts w:hint="eastAsia"/>
          <w:b/>
          <w:bCs/>
          <w:sz w:val="32"/>
          <w:szCs w:val="32"/>
          <w:highlight w:val="none"/>
        </w:rPr>
        <w:t xml:space="preserve">三、获取招标文件</w:t>
      </w:r>
      <w:bookmarkEnd w:id="31"/>
      <w:r/>
      <w:bookmarkEnd w:id="32"/>
      <w:r/>
      <w:bookmarkEnd w:id="33"/>
      <w:r/>
      <w:bookmarkEnd w:id="34"/>
      <w:r/>
      <w:bookmarkEnd w:id="35"/>
      <w:r/>
      <w:bookmarkEnd w:id="38"/>
      <w:r/>
      <w:bookmarkEnd w:id="39"/>
      <w:r/>
      <w:bookmarkEnd w:id="40"/>
      <w:r/>
      <w:bookmarkEnd w:id="41"/>
      <w:r/>
      <w:bookmarkEnd w:id="42"/>
      <w:r/>
      <w:r/>
    </w:p>
    <w:p>
      <w:pPr>
        <w:ind w:firstLine="540"/>
        <w:spacing w:line="360" w:lineRule="auto"/>
        <w:rPr>
          <w:rFonts w:ascii="宋体" w:hAnsi="宋体" w:cs="宋体"/>
          <w:sz w:val="24"/>
          <w:szCs w:val="24"/>
          <w:highlight w:val="none"/>
        </w:rPr>
      </w:pPr>
      <w:r/>
      <w:bookmarkStart w:id="43" w:name="_Toc28359005"/>
      <w:r/>
      <w:bookmarkStart w:id="44" w:name="_Toc28359082"/>
      <w:r/>
      <w:bookmarkStart w:id="45" w:name="_Toc35393624"/>
      <w:r/>
      <w:bookmarkStart w:id="46" w:name="_Toc38985266"/>
      <w:r/>
      <w:bookmarkStart w:id="47" w:name="_Toc35393793"/>
      <w:r>
        <w:rPr>
          <w:rFonts w:hint="eastAsia" w:ascii="宋体" w:hAnsi="宋体" w:cs="宋体"/>
          <w:sz w:val="24"/>
          <w:szCs w:val="24"/>
          <w:highlight w:val="none"/>
        </w:rPr>
        <w:t xml:space="preserve">1.时间：</w:t>
      </w:r>
      <w:r>
        <w:rPr>
          <w:rFonts w:hint="eastAsia" w:ascii="宋体" w:hAnsi="宋体" w:cs="宋体"/>
          <w:sz w:val="24"/>
          <w:szCs w:val="24"/>
          <w:highlight w:val="none"/>
        </w:rPr>
        <w:t xml:space="preserve">自招标文件公告发布之日起5个工作日</w:t>
      </w:r>
      <w:r>
        <w:rPr>
          <w:rFonts w:hint="eastAsia" w:ascii="宋体" w:hAnsi="宋体" w:cs="宋体"/>
          <w:sz w:val="24"/>
          <w:szCs w:val="24"/>
          <w:highlight w:val="none"/>
        </w:rPr>
        <w:t xml:space="preserve">。</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2.方式：在“江苏政府采购网”自行免费下载招标文件。</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（1）潜在投标人访问电子招标投标交易平台的网络地址和方法：</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①登录http://jszfcg.jsczt.cn/ ，或进入江苏政府采购网，点击“苏采云”进入系统。</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投标人操作手册》。</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③潜在投标人访问“苏采云”系统的网络地址和方法:“苏采云”系统的网址:http://jszfcg.jsczt.cn/。</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投标人)CA及电子签章办理指南》。</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⑤招标文件(后缀名为“.kedt”)、投标人操作手册及政府采购客户端工具可通过“苏采云”系统--已报名项目--报名详情页面内相应链接进行下载。</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⑥招标代理机构(采购代理机构)将数据电文形式的招标文件加载至“苏采云”系统，供潜在投标人下载或者查阅。</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⑦请潜在投标人提前安装相应的控件(详见《江苏省政府采购管理交易系统(苏采云)投标人操作手册&gt;)并使用谷歌浏览器登录“苏采云”系统参与不见面开评标。</w:t>
      </w:r>
      <w:r/>
    </w:p>
    <w:p>
      <w:pPr>
        <w:ind w:firstLine="540"/>
        <w:spacing w:line="360" w:lineRule="auto"/>
        <w:rPr>
          <w:rFonts w:ascii="宋体" w:hAnsi="宋体" w:cs="宋体"/>
          <w:b/>
          <w:bCs/>
          <w:sz w:val="24"/>
          <w:szCs w:val="24"/>
          <w:highlight w:val="none"/>
          <w:u w:val="single"/>
        </w:rPr>
      </w:pPr>
      <w:r>
        <w:rPr>
          <w:rFonts w:hint="eastAsia" w:ascii="宋体" w:hAnsi="宋体" w:cs="宋体"/>
          <w:b/>
          <w:bCs/>
          <w:sz w:val="24"/>
          <w:szCs w:val="24"/>
          <w:highlight w:val="none"/>
        </w:rPr>
        <w:t xml:space="preserve">注:如潜在投标人未按上述要求操作，将自行承担所产生的风险。</w:t>
      </w:r>
      <w:r/>
    </w:p>
    <w:p>
      <w:pPr>
        <w:ind w:firstLine="498"/>
        <w:keepLines/>
        <w:keepNext/>
        <w:spacing w:line="360" w:lineRule="auto"/>
        <w:rPr>
          <w:b/>
          <w:bCs/>
          <w:sz w:val="32"/>
          <w:szCs w:val="32"/>
          <w:highlight w:val="none"/>
        </w:rPr>
        <w:outlineLvl w:val="2"/>
      </w:pPr>
      <w:r/>
      <w:bookmarkStart w:id="48" w:name="_Toc2952"/>
      <w:r/>
      <w:bookmarkStart w:id="49" w:name="_Toc3576"/>
      <w:r/>
      <w:bookmarkStart w:id="50" w:name="_Toc13422"/>
      <w:r/>
      <w:bookmarkStart w:id="51" w:name="_Toc7059"/>
      <w:r/>
      <w:bookmarkStart w:id="52" w:name="_Toc21396"/>
      <w:r>
        <w:rPr>
          <w:rFonts w:hint="eastAsia"/>
          <w:b/>
          <w:bCs/>
          <w:sz w:val="32"/>
          <w:szCs w:val="32"/>
          <w:highlight w:val="none"/>
        </w:rPr>
        <w:t xml:space="preserve">四、提交投标文件</w:t>
      </w:r>
      <w:bookmarkEnd w:id="43"/>
      <w:r/>
      <w:bookmarkEnd w:id="44"/>
      <w:r>
        <w:rPr>
          <w:rFonts w:hint="eastAsia"/>
          <w:b/>
          <w:bCs/>
          <w:sz w:val="32"/>
          <w:szCs w:val="32"/>
          <w:highlight w:val="none"/>
        </w:rPr>
        <w:t xml:space="preserve">截止时间、开标时间和地点</w:t>
      </w:r>
      <w:bookmarkEnd w:id="45"/>
      <w:r/>
      <w:bookmarkEnd w:id="46"/>
      <w:r/>
      <w:bookmarkEnd w:id="47"/>
      <w:r/>
      <w:bookmarkEnd w:id="48"/>
      <w:r/>
      <w:bookmarkEnd w:id="49"/>
      <w:r/>
      <w:bookmarkEnd w:id="50"/>
      <w:r/>
      <w:bookmarkEnd w:id="51"/>
      <w:r/>
      <w:bookmarkEnd w:id="52"/>
      <w:r/>
      <w:r/>
    </w:p>
    <w:p>
      <w:pPr>
        <w:ind w:firstLine="480"/>
        <w:spacing w:line="360" w:lineRule="auto"/>
        <w:rPr>
          <w:rFonts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2025</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12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05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10 </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00</w:t>
      </w:r>
      <w:r>
        <w:rPr>
          <w:rFonts w:hint="eastAsia" w:ascii="宋体" w:hAnsi="宋体"/>
          <w:bCs/>
          <w:sz w:val="24"/>
          <w:szCs w:val="24"/>
          <w:highlight w:val="none"/>
        </w:rPr>
        <w:t xml:space="preserve">分（北京时间）。</w:t>
      </w:r>
      <w:r/>
    </w:p>
    <w:p>
      <w:pPr>
        <w:ind w:firstLine="480"/>
        <w:spacing w:line="360" w:lineRule="auto"/>
        <w:rPr>
          <w:rFonts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p>
    <w:p>
      <w:pPr>
        <w:ind w:firstLine="498"/>
        <w:keepLines/>
        <w:keepNext/>
        <w:spacing w:line="360" w:lineRule="auto"/>
        <w:rPr>
          <w:b/>
          <w:bCs/>
          <w:sz w:val="32"/>
          <w:szCs w:val="32"/>
          <w:highlight w:val="none"/>
        </w:rPr>
        <w:outlineLvl w:val="2"/>
      </w:pPr>
      <w:r/>
      <w:bookmarkStart w:id="53" w:name="_Toc35393625"/>
      <w:r/>
      <w:bookmarkStart w:id="54" w:name="_Toc28359084"/>
      <w:r/>
      <w:bookmarkStart w:id="55" w:name="_Toc25214"/>
      <w:r/>
      <w:bookmarkStart w:id="56" w:name="_Toc35393794"/>
      <w:r/>
      <w:bookmarkStart w:id="57" w:name="_Toc38985267"/>
      <w:r/>
      <w:bookmarkStart w:id="58" w:name="_Toc30073"/>
      <w:r/>
      <w:bookmarkStart w:id="59" w:name="_Toc12839"/>
      <w:r/>
      <w:bookmarkStart w:id="60" w:name="_Toc28359007"/>
      <w:r/>
      <w:bookmarkStart w:id="61" w:name="_Toc12984"/>
      <w:r/>
      <w:bookmarkStart w:id="62" w:name="_Toc24781"/>
      <w:r>
        <w:rPr>
          <w:rFonts w:hint="eastAsia"/>
          <w:b/>
          <w:bCs/>
          <w:sz w:val="32"/>
          <w:szCs w:val="32"/>
          <w:highlight w:val="none"/>
        </w:rPr>
        <w:t xml:space="preserve">五、公告期限</w:t>
      </w:r>
      <w:bookmarkEnd w:id="53"/>
      <w:r/>
      <w:bookmarkEnd w:id="54"/>
      <w:r/>
      <w:bookmarkEnd w:id="55"/>
      <w:r/>
      <w:bookmarkEnd w:id="56"/>
      <w:r/>
      <w:bookmarkEnd w:id="57"/>
      <w:r/>
      <w:bookmarkEnd w:id="58"/>
      <w:r/>
      <w:bookmarkEnd w:id="59"/>
      <w:r/>
      <w:bookmarkEnd w:id="60"/>
      <w:r/>
      <w:bookmarkEnd w:id="61"/>
      <w:r/>
      <w:bookmarkEnd w:id="62"/>
      <w:r/>
      <w:r/>
    </w:p>
    <w:p>
      <w:pPr>
        <w:ind w:firstLine="480"/>
        <w:spacing w:line="360" w:lineRule="auto"/>
        <w:rPr>
          <w:rFonts w:ascii="宋体" w:hAnsi="宋体" w:cs="宋体"/>
          <w:sz w:val="24"/>
          <w:szCs w:val="24"/>
          <w:highlight w:val="none"/>
        </w:rPr>
      </w:pPr>
      <w:r/>
      <w:bookmarkStart w:id="63" w:name="_Toc38985268"/>
      <w:r/>
      <w:bookmarkStart w:id="64" w:name="_Toc35393626"/>
      <w:r/>
      <w:bookmarkStart w:id="65" w:name="_Toc35393795"/>
      <w:r>
        <w:rPr>
          <w:rFonts w:hint="eastAsia" w:ascii="宋体" w:hAnsi="宋体" w:cs="宋体"/>
          <w:sz w:val="24"/>
          <w:szCs w:val="24"/>
          <w:highlight w:val="none"/>
        </w:rPr>
        <w:t xml:space="preserve">招标公告及招标文件公告期限为自本公告发布之日起5个工作日。</w:t>
      </w:r>
      <w:r/>
    </w:p>
    <w:p>
      <w:pPr>
        <w:ind w:firstLine="498"/>
        <w:keepLines/>
        <w:keepNext/>
        <w:spacing w:line="360" w:lineRule="auto"/>
        <w:rPr>
          <w:b/>
          <w:bCs/>
          <w:sz w:val="32"/>
          <w:szCs w:val="32"/>
          <w:highlight w:val="none"/>
        </w:rPr>
        <w:outlineLvl w:val="2"/>
      </w:pPr>
      <w:r/>
      <w:bookmarkStart w:id="66" w:name="_Toc24464"/>
      <w:r/>
      <w:bookmarkStart w:id="67" w:name="_Toc17181"/>
      <w:r/>
      <w:bookmarkStart w:id="68" w:name="_Toc24149"/>
      <w:r/>
      <w:bookmarkStart w:id="69" w:name="_Toc11327"/>
      <w:r/>
      <w:bookmarkStart w:id="70" w:name="_Toc11944"/>
      <w:r>
        <w:rPr>
          <w:rFonts w:hint="eastAsia"/>
          <w:b/>
          <w:bCs/>
          <w:sz w:val="32"/>
          <w:szCs w:val="32"/>
          <w:highlight w:val="none"/>
        </w:rPr>
        <w:t xml:space="preserve">六、其他补充事宜</w:t>
      </w:r>
      <w:bookmarkEnd w:id="63"/>
      <w:r/>
      <w:bookmarkEnd w:id="64"/>
      <w:r/>
      <w:bookmarkEnd w:id="65"/>
      <w:r/>
      <w:bookmarkEnd w:id="66"/>
      <w:r/>
      <w:bookmarkEnd w:id="67"/>
      <w:r/>
      <w:bookmarkEnd w:id="68"/>
      <w:r/>
      <w:bookmarkEnd w:id="69"/>
      <w:r/>
      <w:bookmarkEnd w:id="70"/>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1.本招标文件中标注★的款项为实质性响应要求和条件，如不满足将按无效响应处理。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sz w:val="24"/>
          <w:szCs w:val="24"/>
          <w:highlight w:val="none"/>
        </w:rPr>
        <w:t xml:space="preserve">江苏政府采购网</w:t>
      </w:r>
      <w:r>
        <w:rPr>
          <w:rFonts w:hint="eastAsia" w:ascii="宋体" w:hAnsi="宋体" w:cs="宋体"/>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spacing w:line="360" w:lineRule="auto"/>
        <w:rPr>
          <w:b/>
          <w:bCs/>
          <w:sz w:val="32"/>
          <w:szCs w:val="32"/>
          <w:highlight w:val="none"/>
        </w:rPr>
        <w:outlineLvl w:val="2"/>
      </w:pPr>
      <w:r/>
      <w:bookmarkStart w:id="71" w:name="_Toc38985269"/>
      <w:r/>
      <w:bookmarkStart w:id="72" w:name="_Toc35393796"/>
      <w:r/>
      <w:bookmarkStart w:id="73" w:name="_Toc28359008"/>
      <w:r/>
      <w:bookmarkStart w:id="74" w:name="_Toc27688"/>
      <w:r/>
      <w:bookmarkStart w:id="75" w:name="_Toc10855"/>
      <w:r/>
      <w:bookmarkStart w:id="76" w:name="_Toc11778"/>
      <w:r/>
      <w:bookmarkStart w:id="77" w:name="_Toc28359085"/>
      <w:r/>
      <w:bookmarkStart w:id="78" w:name="_Toc12090"/>
      <w:r/>
      <w:bookmarkStart w:id="79" w:name="_Toc32552"/>
      <w:r/>
      <w:bookmarkStart w:id="80" w:name="_Toc35393627"/>
      <w:r>
        <w:rPr>
          <w:rFonts w:hint="eastAsia"/>
          <w:b/>
          <w:bCs/>
          <w:sz w:val="32"/>
          <w:szCs w:val="32"/>
          <w:highlight w:val="none"/>
        </w:rPr>
        <w:t xml:space="preserve">七、本次招标联系方式</w:t>
      </w:r>
      <w:bookmarkEnd w:id="71"/>
      <w:r/>
      <w:bookmarkEnd w:id="72"/>
      <w:r/>
      <w:bookmarkEnd w:id="73"/>
      <w:r/>
      <w:bookmarkEnd w:id="74"/>
      <w:r/>
      <w:bookmarkEnd w:id="75"/>
      <w:r/>
      <w:bookmarkEnd w:id="76"/>
      <w:r/>
      <w:bookmarkEnd w:id="77"/>
      <w:r/>
      <w:bookmarkEnd w:id="78"/>
      <w:r/>
      <w:bookmarkEnd w:id="79"/>
      <w:r/>
      <w:bookmarkEnd w:id="80"/>
      <w:r/>
      <w:r/>
    </w:p>
    <w:p>
      <w:pPr>
        <w:jc w:val="left"/>
        <w:spacing w:line="360" w:lineRule="auto"/>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名 称：灌南县教育局</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地 址：灌南县人民东路9号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联系人：姜主任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联系方式：</w:t>
      </w:r>
      <w:bookmarkStart w:id="81" w:name="_Toc28359086"/>
      <w:r/>
      <w:bookmarkStart w:id="82" w:name="_Toc28359009"/>
      <w:r>
        <w:rPr>
          <w:rFonts w:hint="eastAsia" w:ascii="宋体" w:hAnsi="宋体"/>
          <w:sz w:val="24"/>
          <w:szCs w:val="24"/>
          <w:highlight w:val="none"/>
        </w:rPr>
        <w:t xml:space="preserve">13775576613</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jc w:val="left"/>
        <w:spacing w:line="360" w:lineRule="auto"/>
        <w:rPr>
          <w:rFonts w:ascii="宋体" w:hAnsi="宋体"/>
          <w:sz w:val="24"/>
          <w:szCs w:val="24"/>
          <w:highlight w:val="none"/>
        </w:rPr>
      </w:pPr>
      <w:r>
        <w:rPr>
          <w:rFonts w:hint="eastAsia" w:ascii="宋体" w:hAnsi="宋体" w:cs="宋体"/>
          <w:sz w:val="24"/>
          <w:szCs w:val="24"/>
          <w:highlight w:val="none"/>
        </w:rPr>
        <w:t xml:space="preserve">名  称：江苏鸿成工程项目管理有限公司</w:t>
      </w:r>
      <w:bookmarkEnd w:id="81"/>
      <w:r/>
      <w:bookmarkEnd w:id="82"/>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地　址：连云港市海州区郁州北路9号瀛洲大厦209室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联系人：何工</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bookmarkStart w:id="83" w:name="_Toc28359010"/>
      <w:r/>
      <w:bookmarkStart w:id="84" w:name="_Toc28359087"/>
      <w:r>
        <w:rPr>
          <w:rFonts w:hint="eastAsia" w:ascii="宋体" w:hAnsi="宋体"/>
          <w:sz w:val="24"/>
          <w:szCs w:val="24"/>
          <w:highlight w:val="none"/>
        </w:rPr>
        <w:t xml:space="preserve">0518-81061799</w:t>
      </w:r>
      <w:r/>
    </w:p>
    <w:p>
      <w:pPr>
        <w:pStyle w:val="1159"/>
        <w:ind w:left="0" w:firstLine="480"/>
        <w:spacing w:line="360" w:lineRule="auto"/>
        <w:rPr>
          <w:rFonts w:ascii="宋体" w:hAnsi="宋体"/>
          <w:sz w:val="24"/>
          <w:szCs w:val="24"/>
          <w:highlight w:val="none"/>
        </w:rPr>
      </w:pPr>
      <w:r>
        <w:rPr>
          <w:rFonts w:hint="eastAsia" w:ascii="宋体" w:hAnsi="宋体"/>
          <w:sz w:val="24"/>
          <w:szCs w:val="24"/>
          <w:highlight w:val="none"/>
        </w:rPr>
        <w:t xml:space="preserve">3.项目联系方式</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项目联系人：姜主任</w:t>
      </w:r>
      <w:r/>
    </w:p>
    <w:p>
      <w:pPr>
        <w:ind w:firstLine="498"/>
        <w:keepLines/>
        <w:keepNext/>
        <w:spacing w:line="360" w:lineRule="auto"/>
        <w:rPr>
          <w:rFonts w:ascii="宋体" w:hAnsi="宋体"/>
          <w:sz w:val="24"/>
          <w:szCs w:val="24"/>
          <w:highlight w:val="none"/>
        </w:rPr>
        <w:outlineLvl w:val="2"/>
      </w:pPr>
      <w:r/>
      <w:bookmarkStart w:id="85" w:name="_Toc3881"/>
      <w:r>
        <w:rPr>
          <w:rFonts w:hint="eastAsia" w:ascii="宋体" w:hAnsi="宋体"/>
          <w:sz w:val="24"/>
          <w:szCs w:val="24"/>
          <w:highlight w:val="none"/>
        </w:rPr>
        <w:t xml:space="preserve">电      话：</w:t>
      </w:r>
      <w:bookmarkEnd w:id="83"/>
      <w:r/>
      <w:bookmarkEnd w:id="84"/>
      <w:r/>
      <w:bookmarkEnd w:id="85"/>
      <w:r>
        <w:rPr>
          <w:rFonts w:hint="eastAsia" w:ascii="宋体" w:hAnsi="宋体"/>
          <w:sz w:val="24"/>
          <w:szCs w:val="24"/>
          <w:highlight w:val="none"/>
        </w:rPr>
        <w:t xml:space="preserve">13775576613</w:t>
      </w:r>
      <w:r/>
    </w:p>
    <w:p>
      <w:pPr>
        <w:ind w:firstLine="498"/>
        <w:keepLines/>
        <w:keepNext/>
        <w:spacing w:line="360" w:lineRule="auto"/>
        <w:rPr>
          <w:b/>
          <w:bCs/>
          <w:sz w:val="32"/>
          <w:szCs w:val="32"/>
          <w:highlight w:val="none"/>
        </w:rPr>
        <w:outlineLvl w:val="2"/>
      </w:pPr>
      <w:r/>
      <w:bookmarkStart w:id="86" w:name="_Toc21087"/>
      <w:r/>
      <w:bookmarkStart w:id="87" w:name="_Toc30732"/>
      <w:r/>
      <w:bookmarkStart w:id="88" w:name="_Toc1060"/>
      <w:r/>
      <w:bookmarkStart w:id="89" w:name="_Toc17779"/>
      <w:r/>
      <w:bookmarkStart w:id="90" w:name="_Toc24954"/>
      <w:r>
        <w:rPr>
          <w:rFonts w:hint="eastAsia"/>
          <w:b/>
          <w:bCs/>
          <w:sz w:val="32"/>
          <w:szCs w:val="32"/>
          <w:highlight w:val="none"/>
        </w:rPr>
        <w:t xml:space="preserve">八、其他</w:t>
      </w:r>
      <w:bookmarkEnd w:id="86"/>
      <w:r/>
      <w:bookmarkEnd w:id="87"/>
      <w:r/>
      <w:bookmarkEnd w:id="88"/>
      <w:r/>
      <w:bookmarkEnd w:id="89"/>
      <w:r/>
      <w:bookmarkEnd w:id="90"/>
      <w:r/>
      <w:r/>
    </w:p>
    <w:p>
      <w:pPr>
        <w:ind w:firstLine="480"/>
        <w:jc w:val="left"/>
        <w:spacing w:line="360" w:lineRule="auto"/>
        <w:tabs>
          <w:tab w:val="left" w:pos="900" w:leader="none"/>
        </w:tabs>
        <w:rPr>
          <w:rFonts w:ascii="宋体" w:hAnsi="宋体"/>
          <w:bCs/>
          <w:sz w:val="24"/>
          <w:szCs w:val="24"/>
          <w:highlight w:val="none"/>
        </w:rPr>
      </w:pP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bCs/>
          <w:sz w:val="24"/>
          <w:szCs w:val="24"/>
          <w:highlight w:val="none"/>
        </w:rPr>
        <w:t xml:space="preserve">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.有关本次招标的事项若存在变动或修改，敬请及时关注“江苏政府采购网”发布的更正公告。</w:t>
      </w:r>
      <w:r/>
    </w:p>
    <w:p>
      <w:pPr>
        <w:ind w:firstLine="480"/>
        <w:spacing w:line="360" w:lineRule="auto"/>
        <w:tabs>
          <w:tab w:val="left" w:pos="90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.本次招标不收取投标保证金。</w:t>
      </w:r>
      <w:r/>
    </w:p>
    <w:p>
      <w:pPr>
        <w:ind w:firstLine="480"/>
        <w:spacing w:line="560" w:lineRule="exact"/>
        <w:rPr>
          <w:rFonts w:ascii="宋体" w:hAnsi="宋体"/>
          <w:sz w:val="24"/>
          <w:szCs w:val="21"/>
          <w:highlight w:val="none"/>
        </w:rPr>
        <w:sectPr>
          <w:footerReference w:type="default" r:id="rId18"/>
          <w:footnotePr/>
          <w:endnotePr/>
          <w:type w:val="nextPage"/>
          <w:pgSz w:w="11906" w:h="16838" w:orient="portrait"/>
          <w:pgMar w:top="1440" w:right="1463" w:bottom="1440" w:left="1463" w:header="851" w:footer="992" w:gutter="0"/>
          <w:pgNumType w:start="1"/>
          <w:cols w:num="1" w:sep="0" w:space="425" w:equalWidth="1"/>
          <w:docGrid w:linePitch="360"/>
        </w:sectPr>
      </w:pPr>
      <w:r>
        <w:rPr>
          <w:rFonts w:ascii="宋体" w:hAnsi="宋体"/>
          <w:sz w:val="24"/>
          <w:szCs w:val="21"/>
          <w:highlight w:val="none"/>
        </w:rPr>
      </w:r>
      <w:r/>
    </w:p>
    <w:p>
      <w:pPr>
        <w:ind w:firstLine="2429"/>
        <w:keepLines/>
        <w:keepNext/>
        <w:spacing w:line="360" w:lineRule="auto"/>
        <w:rPr>
          <w:rStyle w:val="1138"/>
          <w:highlight w:val="none"/>
        </w:rPr>
        <w:outlineLvl w:val="1"/>
      </w:pPr>
      <w:r/>
      <w:bookmarkStart w:id="91" w:name="_Toc120614211"/>
      <w:r/>
      <w:bookmarkStart w:id="92" w:name="_Toc14204"/>
      <w:r/>
      <w:bookmarkStart w:id="93" w:name="_Toc22758"/>
      <w:r/>
      <w:bookmarkStart w:id="94" w:name="_Toc9737"/>
      <w:r/>
      <w:bookmarkStart w:id="95" w:name="_Toc5406"/>
      <w:r>
        <w:rPr>
          <w:rStyle w:val="1138"/>
          <w:rFonts w:hint="eastAsia"/>
          <w:highlight w:val="none"/>
        </w:rPr>
        <w:t xml:space="preserve">第二章  </w:t>
      </w:r>
      <w:bookmarkEnd w:id="1"/>
      <w:r/>
      <w:bookmarkEnd w:id="2"/>
      <w:r/>
      <w:bookmarkEnd w:id="3"/>
      <w:r/>
      <w:bookmarkEnd w:id="4"/>
      <w:r/>
      <w:bookmarkEnd w:id="5"/>
      <w:r/>
      <w:bookmarkEnd w:id="91"/>
      <w:r/>
      <w:bookmarkStart w:id="96" w:name="_Toc16938518"/>
      <w:r/>
      <w:bookmarkStart w:id="97" w:name="_Toc513029202"/>
      <w:r/>
      <w:bookmarkStart w:id="98" w:name="_Toc20823274"/>
      <w:r/>
      <w:bookmarkStart w:id="99" w:name="_Toc120614213"/>
      <w:r>
        <w:rPr>
          <w:rStyle w:val="1138"/>
          <w:rFonts w:hint="eastAsia"/>
          <w:highlight w:val="none"/>
        </w:rPr>
        <w:t xml:space="preserve">投标人须知</w:t>
      </w:r>
      <w:bookmarkEnd w:id="92"/>
      <w:r/>
      <w:bookmarkEnd w:id="93"/>
      <w:r/>
      <w:bookmarkEnd w:id="94"/>
      <w:r/>
      <w:bookmarkEnd w:id="95"/>
      <w:r/>
      <w:bookmarkEnd w:id="96"/>
      <w:r/>
      <w:bookmarkEnd w:id="97"/>
      <w:r/>
      <w:bookmarkEnd w:id="98"/>
      <w:r/>
      <w:bookmarkEnd w:id="99"/>
      <w:r/>
      <w:r/>
    </w:p>
    <w:p>
      <w:pPr>
        <w:ind w:firstLine="498"/>
        <w:keepLines/>
        <w:keepNext/>
        <w:spacing w:line="360" w:lineRule="auto"/>
        <w:rPr>
          <w:b/>
          <w:bCs/>
          <w:sz w:val="32"/>
          <w:szCs w:val="32"/>
          <w:highlight w:val="none"/>
        </w:rPr>
        <w:outlineLvl w:val="2"/>
      </w:pPr>
      <w:r/>
      <w:bookmarkStart w:id="100" w:name="_Toc16059"/>
      <w:r/>
      <w:bookmarkStart w:id="101" w:name="_Toc120614214"/>
      <w:r/>
      <w:bookmarkStart w:id="102" w:name="_Toc20823275"/>
      <w:r/>
      <w:bookmarkStart w:id="103" w:name="_Toc16824"/>
      <w:r/>
      <w:bookmarkStart w:id="104" w:name="_Toc16938519"/>
      <w:r/>
      <w:bookmarkStart w:id="105" w:name="_Toc4546"/>
      <w:r/>
      <w:bookmarkStart w:id="106" w:name="_Toc29618"/>
      <w:r/>
      <w:bookmarkStart w:id="107" w:name="_Toc513029203"/>
      <w:r/>
      <w:bookmarkStart w:id="108" w:name="_Toc16221"/>
      <w:r>
        <w:rPr>
          <w:rFonts w:hint="eastAsia"/>
          <w:b/>
          <w:bCs/>
          <w:sz w:val="32"/>
          <w:szCs w:val="32"/>
          <w:highlight w:val="none"/>
        </w:rPr>
        <w:t xml:space="preserve">一、总则</w:t>
      </w:r>
      <w:bookmarkEnd w:id="100"/>
      <w:r/>
      <w:bookmarkEnd w:id="101"/>
      <w:r/>
      <w:bookmarkEnd w:id="102"/>
      <w:r/>
      <w:bookmarkEnd w:id="103"/>
      <w:r/>
      <w:bookmarkEnd w:id="104"/>
      <w:r/>
      <w:bookmarkEnd w:id="105"/>
      <w:r/>
      <w:bookmarkEnd w:id="106"/>
      <w:r/>
      <w:bookmarkEnd w:id="107"/>
      <w:r/>
      <w:bookmarkEnd w:id="108"/>
      <w:r/>
      <w:r/>
    </w:p>
    <w:p>
      <w:pPr>
        <w:ind w:firstLine="420"/>
        <w:keepLines/>
        <w:keepNext/>
        <w:spacing w:line="360" w:lineRule="auto"/>
        <w:rPr>
          <w:rFonts w:ascii="Arial" w:hAnsi="Arial" w:eastAsia="黑体" w:cs="Arial"/>
          <w:sz w:val="28"/>
          <w:szCs w:val="28"/>
          <w:highlight w:val="none"/>
        </w:rPr>
        <w:outlineLvl w:val="3"/>
      </w:pPr>
      <w:r/>
      <w:bookmarkStart w:id="109" w:name="_Hlt16619475"/>
      <w:r/>
      <w:bookmarkEnd w:id="109"/>
      <w:r/>
      <w:bookmarkStart w:id="110" w:name="_Toc458694821"/>
      <w:r/>
      <w:bookmarkStart w:id="111" w:name="_Toc20823276"/>
      <w:r/>
      <w:bookmarkStart w:id="112" w:name="_Toc513029204"/>
      <w:r/>
      <w:bookmarkStart w:id="113" w:name="_Toc16938520"/>
      <w:r>
        <w:rPr>
          <w:rFonts w:hint="eastAsia" w:ascii="Arial" w:hAnsi="Arial" w:eastAsia="黑体" w:cs="Arial"/>
          <w:sz w:val="28"/>
          <w:szCs w:val="28"/>
          <w:highlight w:val="none"/>
        </w:rPr>
        <w:t xml:space="preserve">1</w:t>
      </w:r>
      <w:bookmarkEnd w:id="110"/>
      <w:r>
        <w:rPr>
          <w:rFonts w:hint="eastAsia" w:ascii="Arial" w:hAnsi="Arial" w:eastAsia="黑体" w:cs="Arial"/>
          <w:sz w:val="28"/>
          <w:szCs w:val="28"/>
          <w:highlight w:val="none"/>
        </w:rPr>
        <w:t xml:space="preserve">、采购</w:t>
      </w:r>
      <w:r>
        <w:rPr>
          <w:rFonts w:hint="eastAsia" w:ascii="Arial" w:hAnsi="Arial" w:eastAsia="黑体" w:cs="Arial"/>
          <w:sz w:val="28"/>
          <w:szCs w:val="28"/>
          <w:highlight w:val="none"/>
          <w:lang w:val="en-US" w:eastAsia="zh-CN"/>
        </w:rPr>
        <w:t xml:space="preserve">方</w:t>
      </w:r>
      <w:r>
        <w:rPr>
          <w:rFonts w:hint="eastAsia" w:ascii="Arial" w:hAnsi="Arial" w:eastAsia="黑体" w:cs="Arial"/>
          <w:sz w:val="28"/>
          <w:szCs w:val="28"/>
          <w:highlight w:val="none"/>
        </w:rPr>
        <w:t xml:space="preserve">式</w:t>
      </w:r>
      <w:bookmarkEnd w:id="111"/>
      <w:r/>
      <w:bookmarkEnd w:id="112"/>
      <w:r/>
      <w:bookmarkEnd w:id="113"/>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1.1 本次招标采取公开采购方式，本招标文件仅适用于招标公告中所述项目。</w:t>
      </w:r>
      <w:r/>
    </w:p>
    <w:p>
      <w:pPr>
        <w:ind w:firstLine="420"/>
        <w:keepLines/>
        <w:keepNext/>
        <w:spacing w:line="360" w:lineRule="auto"/>
        <w:rPr>
          <w:rFonts w:ascii="Arial" w:hAnsi="Arial" w:eastAsia="黑体" w:cs="Arial"/>
          <w:sz w:val="28"/>
          <w:szCs w:val="28"/>
          <w:highlight w:val="none"/>
        </w:rPr>
        <w:outlineLvl w:val="3"/>
      </w:pPr>
      <w:r/>
      <w:bookmarkStart w:id="114" w:name="_Toc513029205"/>
      <w:r/>
      <w:bookmarkStart w:id="115" w:name="_Toc16938521"/>
      <w:r/>
      <w:bookmarkStart w:id="116" w:name="_Toc20823277"/>
      <w:r>
        <w:rPr>
          <w:rFonts w:hint="eastAsia" w:ascii="Arial" w:hAnsi="Arial" w:eastAsia="黑体" w:cs="Arial"/>
          <w:sz w:val="28"/>
          <w:szCs w:val="28"/>
          <w:highlight w:val="none"/>
        </w:rPr>
        <w:t xml:space="preserve">2、合格的投标人</w:t>
      </w:r>
      <w:bookmarkEnd w:id="114"/>
      <w:r/>
      <w:bookmarkEnd w:id="115"/>
      <w:r/>
      <w:bookmarkEnd w:id="116"/>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2.1 满足招标公告中投标人的资格要求的规定。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2.2 满足本文件实质性要求和条件的规定。</w:t>
      </w:r>
      <w:r/>
    </w:p>
    <w:p>
      <w:pPr>
        <w:ind w:firstLine="420"/>
        <w:keepLines/>
        <w:keepNext/>
        <w:spacing w:line="360" w:lineRule="auto"/>
        <w:rPr>
          <w:rFonts w:ascii="Arial" w:hAnsi="Arial" w:eastAsia="黑体" w:cs="Arial"/>
          <w:sz w:val="28"/>
          <w:szCs w:val="28"/>
          <w:highlight w:val="none"/>
        </w:rPr>
        <w:outlineLvl w:val="3"/>
      </w:pPr>
      <w:r/>
      <w:bookmarkStart w:id="117" w:name="_Toc20823278"/>
      <w:r/>
      <w:bookmarkStart w:id="118" w:name="_Toc16938522"/>
      <w:r/>
      <w:bookmarkStart w:id="119" w:name="_Toc513029206"/>
      <w:r>
        <w:rPr>
          <w:rFonts w:hint="eastAsia" w:ascii="Arial" w:hAnsi="Arial" w:eastAsia="黑体" w:cs="Arial"/>
          <w:sz w:val="28"/>
          <w:szCs w:val="28"/>
          <w:highlight w:val="none"/>
        </w:rPr>
        <w:t xml:space="preserve">3、适用法律</w:t>
      </w:r>
      <w:bookmarkEnd w:id="117"/>
      <w:r/>
      <w:bookmarkEnd w:id="118"/>
      <w:r/>
      <w:bookmarkEnd w:id="119"/>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p>
    <w:p>
      <w:pPr>
        <w:ind w:firstLine="420"/>
        <w:keepLines/>
        <w:keepNext/>
        <w:spacing w:line="360" w:lineRule="auto"/>
        <w:rPr>
          <w:rFonts w:ascii="Arial" w:hAnsi="Arial" w:eastAsia="黑体" w:cs="Arial"/>
          <w:sz w:val="28"/>
          <w:szCs w:val="28"/>
          <w:highlight w:val="none"/>
        </w:rPr>
        <w:outlineLvl w:val="3"/>
      </w:pPr>
      <w:r/>
      <w:bookmarkStart w:id="120" w:name="_Toc16938523"/>
      <w:r/>
      <w:bookmarkStart w:id="121" w:name="_Toc20823279"/>
      <w:r/>
      <w:bookmarkStart w:id="122" w:name="_Toc462564067"/>
      <w:r/>
      <w:bookmarkStart w:id="123" w:name="_Toc513029207"/>
      <w:r>
        <w:rPr>
          <w:rFonts w:hint="eastAsia" w:ascii="Arial" w:hAnsi="Arial" w:eastAsia="黑体" w:cs="Arial"/>
          <w:sz w:val="28"/>
          <w:szCs w:val="28"/>
          <w:highlight w:val="none"/>
        </w:rPr>
        <w:t xml:space="preserve">4、投标费用</w:t>
      </w:r>
      <w:bookmarkEnd w:id="120"/>
      <w:r/>
      <w:bookmarkEnd w:id="121"/>
      <w:r/>
      <w:bookmarkEnd w:id="122"/>
      <w:r/>
      <w:bookmarkEnd w:id="123"/>
      <w:r/>
      <w:r/>
    </w:p>
    <w:p>
      <w:pPr>
        <w:ind w:firstLine="480"/>
        <w:spacing w:line="360" w:lineRule="auto"/>
        <w:rPr>
          <w:rFonts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投标人应自行承担所有与参加投标有关的费用，无论投标过程中的做法和结果如何，采购人或采购代理机构在任何情况下均无义务和责任承担这些费用。</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4.2 本次招标采购代理</w:t>
      </w:r>
      <w:r>
        <w:rPr>
          <w:rFonts w:hint="eastAsia" w:ascii="宋体" w:hAnsi="宋体" w:cs="宋体"/>
          <w:sz w:val="24"/>
          <w:szCs w:val="24"/>
          <w:highlight w:val="none"/>
        </w:rPr>
        <w:t xml:space="preserve">服务费收费按照苏招协[2022]002号文和苏建价协[2022]7号文收费标准的50% 计取；其他费用按实际发生按实收取。以上费用最终由中标人在领取中标通知书时一次性支付，投标人须将此部分费用综合考虑在报价中，不得单列。</w:t>
      </w:r>
      <w:r/>
    </w:p>
    <w:p>
      <w:pPr>
        <w:ind w:firstLine="602"/>
        <w:keepLines/>
        <w:keepNext/>
        <w:spacing w:line="360" w:lineRule="auto"/>
        <w:rPr>
          <w:rFonts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ind w:firstLine="321"/>
        <w:keepLines/>
        <w:keepNext/>
        <w:spacing w:line="360" w:lineRule="auto"/>
        <w:rPr>
          <w:b/>
          <w:bCs/>
          <w:sz w:val="32"/>
          <w:szCs w:val="32"/>
          <w:highlight w:val="none"/>
        </w:rPr>
        <w:outlineLvl w:val="2"/>
      </w:pPr>
      <w:r/>
      <w:bookmarkStart w:id="124" w:name="_Toc19312"/>
      <w:r/>
      <w:bookmarkStart w:id="125" w:name="_Toc25727"/>
      <w:r/>
      <w:bookmarkStart w:id="126" w:name="_Toc120614215"/>
      <w:r/>
      <w:bookmarkStart w:id="127" w:name="_Toc26954"/>
      <w:r/>
      <w:bookmarkStart w:id="128" w:name="_Toc16853"/>
      <w:r/>
      <w:bookmarkStart w:id="129" w:name="_Toc16938525"/>
      <w:r/>
      <w:bookmarkStart w:id="130" w:name="_Toc513029209"/>
      <w:r/>
      <w:bookmarkStart w:id="131" w:name="_Toc20823281"/>
      <w:r/>
      <w:bookmarkStart w:id="132" w:name="_Toc202"/>
      <w:r>
        <w:rPr>
          <w:rFonts w:hint="eastAsia"/>
          <w:b/>
          <w:bCs/>
          <w:sz w:val="32"/>
          <w:szCs w:val="32"/>
          <w:highlight w:val="none"/>
        </w:rPr>
        <w:t xml:space="preserve">二、招标文件</w:t>
      </w:r>
      <w:bookmarkEnd w:id="124"/>
      <w:r/>
      <w:bookmarkEnd w:id="125"/>
      <w:r/>
      <w:bookmarkEnd w:id="126"/>
      <w:r/>
      <w:bookmarkEnd w:id="127"/>
      <w:r/>
      <w:bookmarkEnd w:id="128"/>
      <w:r/>
      <w:bookmarkEnd w:id="129"/>
      <w:r/>
      <w:bookmarkEnd w:id="130"/>
      <w:r/>
      <w:bookmarkEnd w:id="131"/>
      <w:r/>
      <w:bookmarkEnd w:id="132"/>
      <w:r/>
      <w:r/>
    </w:p>
    <w:p>
      <w:pPr>
        <w:ind w:firstLine="420"/>
        <w:keepLines/>
        <w:keepNext/>
        <w:spacing w:line="360" w:lineRule="auto"/>
        <w:rPr>
          <w:rFonts w:ascii="Arial" w:hAnsi="Arial" w:eastAsia="黑体" w:cs="Arial"/>
          <w:sz w:val="28"/>
          <w:szCs w:val="28"/>
          <w:highlight w:val="none"/>
        </w:rPr>
        <w:outlineLvl w:val="3"/>
      </w:pPr>
      <w:r/>
      <w:bookmarkStart w:id="133" w:name="_Toc16938526"/>
      <w:r/>
      <w:bookmarkStart w:id="134" w:name="_Toc20823282"/>
      <w:r/>
      <w:bookmarkStart w:id="135" w:name="_Toc513029210"/>
      <w:r>
        <w:rPr>
          <w:rFonts w:hint="eastAsia" w:ascii="Arial" w:hAnsi="Arial" w:eastAsia="黑体" w:cs="Arial"/>
          <w:sz w:val="28"/>
          <w:szCs w:val="28"/>
          <w:highlight w:val="none"/>
        </w:rPr>
        <w:t xml:space="preserve">6、招标文件构成</w:t>
      </w:r>
      <w:bookmarkEnd w:id="133"/>
      <w:r/>
      <w:bookmarkEnd w:id="134"/>
      <w:r/>
      <w:bookmarkEnd w:id="135"/>
      <w:r/>
      <w:r/>
    </w:p>
    <w:p>
      <w:pPr>
        <w:ind w:firstLine="480"/>
        <w:spacing w:line="360" w:lineRule="auto"/>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（2）投标人须知</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（3）合同文本</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（4）采购需求</w:t>
      </w:r>
      <w:r/>
    </w:p>
    <w:p>
      <w:pPr>
        <w:ind w:firstLine="360"/>
        <w:spacing w:line="360" w:lineRule="auto"/>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（6）投标文件格式</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请仔细检查招标文件是否齐全，如有缺漏请立即与采购代理机构联系解决。</w:t>
      </w:r>
      <w:r/>
    </w:p>
    <w:p>
      <w:pPr>
        <w:ind w:firstLine="480"/>
        <w:spacing w:line="360" w:lineRule="auto"/>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ascii="Arial" w:hAnsi="Arial" w:eastAsia="黑体" w:cs="Arial"/>
          <w:sz w:val="28"/>
          <w:szCs w:val="28"/>
          <w:highlight w:val="none"/>
        </w:rPr>
        <w:outlineLvl w:val="3"/>
      </w:pPr>
      <w:r/>
      <w:bookmarkStart w:id="136" w:name="_Toc513029211"/>
      <w:r/>
      <w:bookmarkStart w:id="137" w:name="_Toc20823283"/>
      <w:r/>
      <w:bookmarkStart w:id="138" w:name="_Toc16938527"/>
      <w:r/>
      <w:bookmarkStart w:id="139" w:name="_Toc462564070"/>
      <w:r>
        <w:rPr>
          <w:rFonts w:hint="eastAsia" w:ascii="Arial" w:hAnsi="Arial" w:eastAsia="黑体" w:cs="Arial"/>
          <w:sz w:val="28"/>
          <w:szCs w:val="28"/>
          <w:highlight w:val="none"/>
        </w:rPr>
        <w:t xml:space="preserve">7、招标文件的澄清</w:t>
      </w:r>
      <w:bookmarkEnd w:id="136"/>
      <w:r/>
      <w:bookmarkEnd w:id="137"/>
      <w:r/>
      <w:bookmarkEnd w:id="138"/>
      <w:r/>
      <w:bookmarkEnd w:id="139"/>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按招标公告中的通讯地址，以书面形式通知采购代理机构或采购人。</w:t>
      </w:r>
      <w:bookmarkStart w:id="140" w:name="_Toc16938528"/>
      <w:r/>
      <w:bookmarkStart w:id="141" w:name="_Toc513029212"/>
      <w:r/>
      <w:bookmarkStart w:id="142" w:name="_Toc20823284"/>
      <w:r/>
      <w:bookmarkStart w:id="143" w:name="_Toc462564071"/>
      <w:r/>
      <w:r/>
    </w:p>
    <w:p>
      <w:pPr>
        <w:ind w:firstLine="560"/>
        <w:jc w:val="left"/>
        <w:spacing w:line="360" w:lineRule="auto"/>
        <w:rPr>
          <w:rFonts w:ascii="Arial" w:hAnsi="Arial" w:eastAsia="黑体" w:cs="Arial"/>
          <w:sz w:val="28"/>
          <w:szCs w:val="28"/>
          <w:highlight w:val="none"/>
        </w:rPr>
      </w:pPr>
      <w:r>
        <w:rPr>
          <w:rFonts w:hint="eastAsia" w:ascii="Arial" w:hAnsi="Arial" w:eastAsia="黑体" w:cs="Arial"/>
          <w:sz w:val="28"/>
          <w:szCs w:val="28"/>
          <w:highlight w:val="none"/>
        </w:rPr>
        <w:t xml:space="preserve">8、招标文件的修改</w:t>
      </w:r>
      <w:bookmarkEnd w:id="140"/>
      <w:r/>
      <w:bookmarkEnd w:id="141"/>
      <w:r/>
      <w:bookmarkEnd w:id="142"/>
      <w:r/>
      <w:bookmarkEnd w:id="143"/>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，采购人可以对招标文件进行修改。</w:t>
      </w:r>
      <w:r/>
    </w:p>
    <w:p>
      <w:pPr>
        <w:ind w:firstLine="480"/>
        <w:jc w:val="left"/>
        <w:spacing w:line="360" w:lineRule="auto"/>
        <w:rPr>
          <w:rFonts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采购人</w:t>
      </w:r>
      <w:r>
        <w:rPr>
          <w:rFonts w:hint="eastAsia" w:ascii="宋体" w:hAnsi="宋体"/>
          <w:sz w:val="24"/>
          <w:szCs w:val="24"/>
          <w:highlight w:val="none"/>
        </w:rPr>
        <w:t xml:space="preserve">有权按照法定的要求</w:t>
      </w:r>
      <w:r>
        <w:rPr>
          <w:rFonts w:hint="eastAsia" w:ascii="宋体" w:hAnsi="宋体"/>
          <w:sz w:val="24"/>
          <w:szCs w:val="21"/>
          <w:highlight w:val="none"/>
        </w:rPr>
        <w:t xml:space="preserve">推迟投标截止日期和开标日期。</w:t>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szCs w:val="21"/>
          <w:highlight w:val="none"/>
        </w:rPr>
        <w:t xml:space="preserve">并对投标人具有约束力。</w:t>
      </w:r>
      <w:r/>
    </w:p>
    <w:p>
      <w:pPr>
        <w:ind w:firstLine="482"/>
        <w:keepLines/>
        <w:keepNext/>
        <w:spacing w:line="360" w:lineRule="auto"/>
        <w:rPr>
          <w:b/>
          <w:bCs/>
          <w:sz w:val="32"/>
          <w:szCs w:val="32"/>
          <w:highlight w:val="none"/>
        </w:rPr>
        <w:outlineLvl w:val="2"/>
      </w:pPr>
      <w:r/>
      <w:bookmarkStart w:id="144" w:name="_Toc513029213"/>
      <w:r/>
      <w:bookmarkStart w:id="145" w:name="_Toc27839"/>
      <w:r/>
      <w:bookmarkStart w:id="146" w:name="_Toc462564072"/>
      <w:r/>
      <w:bookmarkStart w:id="147" w:name="_Toc9292"/>
      <w:r/>
      <w:bookmarkStart w:id="148" w:name="_Toc16938529"/>
      <w:r/>
      <w:bookmarkStart w:id="149" w:name="_Toc120614216"/>
      <w:r/>
      <w:bookmarkStart w:id="150" w:name="_Toc31833"/>
      <w:r/>
      <w:bookmarkStart w:id="151" w:name="_Toc27461"/>
      <w:r/>
      <w:bookmarkStart w:id="152" w:name="_Toc20823285"/>
      <w:r/>
      <w:bookmarkStart w:id="153" w:name="_Toc28130"/>
      <w:r>
        <w:rPr>
          <w:rFonts w:hint="eastAsia"/>
          <w:b/>
          <w:bCs/>
          <w:sz w:val="32"/>
          <w:szCs w:val="32"/>
          <w:highlight w:val="none"/>
        </w:rPr>
        <w:t xml:space="preserve">三、投标文件的编制</w:t>
      </w:r>
      <w:bookmarkEnd w:id="144"/>
      <w:r/>
      <w:bookmarkEnd w:id="145"/>
      <w:r/>
      <w:bookmarkEnd w:id="146"/>
      <w:r/>
      <w:bookmarkEnd w:id="147"/>
      <w:r/>
      <w:bookmarkEnd w:id="148"/>
      <w:r/>
      <w:bookmarkEnd w:id="149"/>
      <w:r/>
      <w:bookmarkEnd w:id="150"/>
      <w:r/>
      <w:bookmarkEnd w:id="151"/>
      <w:r/>
      <w:bookmarkEnd w:id="152"/>
      <w:r/>
      <w:bookmarkEnd w:id="153"/>
      <w:r/>
      <w:bookmarkStart w:id="154" w:name="_Toc462564073"/>
      <w:r/>
      <w:bookmarkStart w:id="155" w:name="_Toc20823286"/>
      <w:r/>
      <w:bookmarkStart w:id="156" w:name="_Toc16938530"/>
      <w:r/>
      <w:bookmarkStart w:id="157" w:name="_Toc513029214"/>
      <w:r/>
      <w:r/>
    </w:p>
    <w:p>
      <w:pPr>
        <w:ind w:firstLine="420"/>
        <w:keepLines/>
        <w:keepNext/>
        <w:spacing w:line="360" w:lineRule="auto"/>
        <w:rPr>
          <w:rFonts w:ascii="Arial" w:hAnsi="Arial" w:eastAsia="黑体" w:cs="Arial"/>
          <w:b/>
          <w:sz w:val="28"/>
          <w:szCs w:val="28"/>
          <w:highlight w:val="none"/>
        </w:rPr>
        <w:outlineLvl w:val="2"/>
      </w:pPr>
      <w:r/>
      <w:bookmarkStart w:id="158" w:name="_Toc26319"/>
      <w:r/>
      <w:bookmarkStart w:id="159" w:name="_Toc29500"/>
      <w:r/>
      <w:bookmarkStart w:id="160" w:name="_Toc17823"/>
      <w:r/>
      <w:bookmarkStart w:id="161" w:name="_Toc20132"/>
      <w:r/>
      <w:bookmarkStart w:id="162" w:name="_Toc30799"/>
      <w:r>
        <w:rPr>
          <w:rFonts w:hint="eastAsia" w:ascii="Arial" w:hAnsi="Arial" w:eastAsia="黑体" w:cs="Arial"/>
          <w:sz w:val="28"/>
          <w:szCs w:val="28"/>
          <w:highlight w:val="none"/>
        </w:rPr>
        <w:t xml:space="preserve">9、投标文件的语言及度量衡单位</w:t>
      </w:r>
      <w:bookmarkEnd w:id="154"/>
      <w:r/>
      <w:bookmarkEnd w:id="155"/>
      <w:r/>
      <w:bookmarkEnd w:id="156"/>
      <w:r/>
      <w:bookmarkEnd w:id="157"/>
      <w:r/>
      <w:bookmarkEnd w:id="158"/>
      <w:r/>
      <w:bookmarkEnd w:id="159"/>
      <w:r/>
      <w:bookmarkEnd w:id="160"/>
      <w:r/>
      <w:bookmarkEnd w:id="161"/>
      <w:r/>
      <w:bookmarkEnd w:id="162"/>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投标人提交的投标文件以及投标人与采购人、采购代理机构就有关投标的所有来往通知、函件和文件均应使用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p>
    <w:p>
      <w:pPr>
        <w:ind w:firstLine="420"/>
        <w:jc w:val="left"/>
        <w:keepLines/>
        <w:keepNext/>
        <w:spacing w:line="360" w:lineRule="auto"/>
        <w:rPr>
          <w:rFonts w:ascii="Arial" w:hAnsi="Arial" w:eastAsia="黑体" w:cs="Arial"/>
          <w:sz w:val="28"/>
          <w:szCs w:val="28"/>
          <w:highlight w:val="none"/>
        </w:rPr>
        <w:outlineLvl w:val="3"/>
      </w:pPr>
      <w:r/>
      <w:bookmarkStart w:id="163" w:name="_Toc513029215"/>
      <w:r/>
      <w:bookmarkStart w:id="164" w:name="_Toc20823287"/>
      <w:r/>
      <w:bookmarkStart w:id="165" w:name="_Toc462564074"/>
      <w:r/>
      <w:bookmarkStart w:id="166" w:name="_Toc16938531"/>
      <w:r>
        <w:rPr>
          <w:rFonts w:hint="eastAsia" w:ascii="Arial" w:hAnsi="Arial" w:eastAsia="黑体" w:cs="Arial"/>
          <w:sz w:val="28"/>
          <w:szCs w:val="28"/>
          <w:highlight w:val="none"/>
        </w:rPr>
        <w:t xml:space="preserve">10、投标文件构成</w:t>
      </w:r>
      <w:bookmarkEnd w:id="163"/>
      <w:r/>
      <w:bookmarkEnd w:id="164"/>
      <w:r/>
      <w:bookmarkEnd w:id="165"/>
      <w:r/>
      <w:bookmarkEnd w:id="166"/>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spacing w:line="360" w:lineRule="auto"/>
        <w:rPr>
          <w:rFonts w:ascii="宋体" w:hAnsi="宋体"/>
          <w:sz w:val="24"/>
          <w:szCs w:val="21"/>
          <w:highlight w:val="none"/>
        </w:rPr>
      </w:pPr>
      <w:r>
        <w:rPr>
          <w:rFonts w:hint="eastAsia" w:ascii="宋体" w:hAnsi="宋体"/>
          <w:b/>
          <w:bCs/>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sz w:val="24"/>
          <w:szCs w:val="21"/>
          <w:highlight w:val="none"/>
        </w:rPr>
        <w:t xml:space="preserve">。</w:t>
      </w:r>
      <w:r/>
    </w:p>
    <w:p>
      <w:pPr>
        <w:ind w:firstLine="420"/>
        <w:keepLines/>
        <w:keepNext/>
        <w:spacing w:line="360" w:lineRule="auto"/>
        <w:rPr>
          <w:rFonts w:ascii="Arial" w:hAnsi="Arial" w:eastAsia="黑体" w:cs="Arial"/>
          <w:sz w:val="28"/>
          <w:szCs w:val="28"/>
          <w:highlight w:val="none"/>
        </w:rPr>
        <w:outlineLvl w:val="3"/>
      </w:pPr>
      <w:r/>
      <w:bookmarkStart w:id="167" w:name="_Hlt26954838"/>
      <w:r/>
      <w:bookmarkEnd w:id="167"/>
      <w:r/>
      <w:bookmarkStart w:id="168" w:name="_Hlt26668975"/>
      <w:r/>
      <w:bookmarkEnd w:id="168"/>
      <w:r/>
      <w:bookmarkStart w:id="169" w:name="_Hlt26670360"/>
      <w:r/>
      <w:bookmarkEnd w:id="169"/>
      <w:r/>
      <w:bookmarkStart w:id="170" w:name="_Toc513029216"/>
      <w:r/>
      <w:bookmarkStart w:id="171" w:name="_Toc49090509"/>
      <w:r/>
      <w:bookmarkStart w:id="172" w:name="_Toc49090507"/>
      <w:r/>
      <w:bookmarkStart w:id="173" w:name="_Toc14577357"/>
      <w:r/>
      <w:bookmarkStart w:id="174" w:name="_Toc14577354"/>
      <w:r/>
      <w:bookmarkStart w:id="175" w:name="_Toc513029219"/>
      <w:r/>
      <w:bookmarkStart w:id="176" w:name="_Toc49090508"/>
      <w:r/>
      <w:bookmarkStart w:id="177" w:name="_Toc14577355"/>
      <w:r>
        <w:rPr>
          <w:rFonts w:hint="eastAsia" w:ascii="Arial" w:hAnsi="Arial" w:eastAsia="黑体" w:cs="Arial"/>
          <w:sz w:val="28"/>
          <w:szCs w:val="28"/>
          <w:highlight w:val="none"/>
        </w:rPr>
        <w:t xml:space="preserve">11、证明投标人及投标标的符合招标文件规定的文件</w:t>
      </w:r>
      <w:bookmarkEnd w:id="170"/>
      <w:r/>
      <w:bookmarkEnd w:id="171"/>
      <w:r/>
      <w:bookmarkEnd w:id="172"/>
      <w:r/>
      <w:bookmarkEnd w:id="173"/>
      <w:r/>
      <w:bookmarkEnd w:id="174"/>
      <w:r/>
      <w:bookmarkEnd w:id="175"/>
      <w:r/>
      <w:r/>
    </w:p>
    <w:p>
      <w:pPr>
        <w:spacing w:line="360" w:lineRule="auto"/>
        <w:rPr>
          <w:rFonts w:ascii="宋体" w:hAnsi="宋体"/>
          <w:sz w:val="24"/>
          <w:szCs w:val="24"/>
          <w:highlight w:val="none"/>
        </w:rPr>
      </w:pPr>
      <w:r>
        <w:rPr>
          <w:rFonts w:hint="eastAsia" w:ascii="宋体" w:hAnsi="宋体"/>
          <w:sz w:val="24"/>
          <w:szCs w:val="24"/>
          <w:highlight w:val="none"/>
        </w:rPr>
        <w:t xml:space="preserve">    11.1 投标人应按照招标文件要求提交证明文件，证明其及投标标的符合招标文件规定。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bookmarkEnd w:id="176"/>
      <w:r/>
      <w:bookmarkEnd w:id="177"/>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12、投标分项报价表</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投标人应按照招标文件规定格式填报投标分项报价表。</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360" w:lineRule="auto"/>
        <w:rPr>
          <w:rFonts w:ascii="Arial" w:hAnsi="Arial" w:eastAsia="黑体" w:cs="Arial"/>
          <w:sz w:val="28"/>
          <w:szCs w:val="28"/>
          <w:highlight w:val="none"/>
        </w:rPr>
        <w:outlineLvl w:val="3"/>
      </w:pPr>
      <w:r/>
      <w:bookmarkStart w:id="178" w:name="_Hlt26954846"/>
      <w:r/>
      <w:bookmarkEnd w:id="178"/>
      <w:r/>
      <w:bookmarkStart w:id="179" w:name="_Hlt26670486"/>
      <w:r/>
      <w:bookmarkEnd w:id="179"/>
      <w:r/>
      <w:bookmarkStart w:id="180" w:name="_Hlt26954848"/>
      <w:r/>
      <w:bookmarkEnd w:id="180"/>
      <w:r/>
      <w:bookmarkStart w:id="181" w:name="_Hlt26954731"/>
      <w:r/>
      <w:bookmarkEnd w:id="181"/>
      <w:r/>
      <w:bookmarkStart w:id="182" w:name="_Hlt26670482"/>
      <w:r/>
      <w:bookmarkEnd w:id="182"/>
      <w:r>
        <w:rPr>
          <w:rFonts w:hint="eastAsia" w:ascii="Arial" w:hAnsi="Arial" w:eastAsia="黑体" w:cs="Arial"/>
          <w:sz w:val="28"/>
          <w:szCs w:val="28"/>
          <w:highlight w:val="none"/>
        </w:rPr>
        <w:t xml:space="preserve">13、技术要求响应及偏离表、商务要求响应及偏离表</w:t>
      </w:r>
      <w:r/>
    </w:p>
    <w:p>
      <w:pPr>
        <w:ind w:firstLine="480"/>
        <w:spacing w:line="360" w:lineRule="auto"/>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360" w:lineRule="auto"/>
        <w:rPr>
          <w:rFonts w:ascii="宋体" w:hAnsi="Arial" w:cs="宋体"/>
          <w:sz w:val="24"/>
          <w:szCs w:val="21"/>
          <w:highlight w:val="none"/>
          <w:lang w:val="zh-CN"/>
        </w:rPr>
      </w:pPr>
      <w:r>
        <w:rPr>
          <w:rFonts w:hint="eastAsia" w:ascii="宋体" w:hAnsi="Arial" w:cs="宋体"/>
          <w:sz w:val="24"/>
          <w:szCs w:val="21"/>
          <w:highlight w:val="none"/>
          <w:lang w:val="zh-CN"/>
        </w:rPr>
        <w:t xml:space="preserve">13.2 投标人需根据招标文件第四章 采购需求的要求提供相关证明材料。</w:t>
      </w:r>
      <w:r/>
    </w:p>
    <w:p>
      <w:pPr>
        <w:ind w:firstLine="480"/>
        <w:spacing w:line="360" w:lineRule="auto"/>
        <w:rPr>
          <w:rFonts w:ascii="宋体" w:hAnsi="Arial" w:cs="宋体"/>
          <w:sz w:val="24"/>
          <w:szCs w:val="21"/>
          <w:highlight w:val="none"/>
          <w:lang w:val="zh-CN"/>
        </w:rPr>
      </w:pPr>
      <w:r>
        <w:rPr>
          <w:rFonts w:hint="eastAsia" w:ascii="宋体" w:hAnsi="Arial" w:cs="宋体"/>
          <w:sz w:val="24"/>
          <w:szCs w:val="21"/>
          <w:highlight w:val="none"/>
          <w:lang w:val="zh-CN"/>
        </w:rPr>
        <w:t xml:space="preserve">13.3 投标人可在投标文件中提供认为需要的其他技术文件或说明。</w:t>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14.1 </w:t>
      </w:r>
      <w:r>
        <w:rPr>
          <w:rFonts w:hint="eastAsia" w:ascii="宋体" w:hAnsi="宋体"/>
          <w:sz w:val="24"/>
          <w:szCs w:val="24"/>
          <w:highlight w:val="none"/>
        </w:rPr>
        <w:t xml:space="preserve">投标人需根据招标文件要求提供有关售后服务的售后服务方式、售后服务响应的时间、售后服务的内容等。</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14.2 投标人需根据招标文件要求提供培训计划。</w:t>
      </w:r>
      <w:r/>
    </w:p>
    <w:p>
      <w:pPr>
        <w:ind w:firstLine="480"/>
        <w:spacing w:line="360" w:lineRule="auto"/>
        <w:rPr>
          <w:highlight w:val="none"/>
        </w:rPr>
      </w:pPr>
      <w:r>
        <w:rPr>
          <w:rFonts w:hint="eastAsia" w:ascii="宋体" w:hAnsi="Arial" w:cs="宋体"/>
          <w:sz w:val="24"/>
          <w:szCs w:val="21"/>
          <w:highlight w:val="none"/>
        </w:rPr>
        <w:t xml:space="preserve">14.3 投标人需根据招标文件要求提供实施方案、质保承诺等。</w:t>
      </w:r>
      <w:r/>
    </w:p>
    <w:p>
      <w:pPr>
        <w:ind w:firstLine="420"/>
        <w:keepLines/>
        <w:keepNext/>
        <w:spacing w:line="360" w:lineRule="auto"/>
        <w:rPr>
          <w:rFonts w:ascii="Arial" w:hAnsi="Arial" w:eastAsia="黑体" w:cs="Arial"/>
          <w:sz w:val="28"/>
          <w:szCs w:val="28"/>
          <w:highlight w:val="none"/>
        </w:rPr>
        <w:outlineLvl w:val="3"/>
      </w:pPr>
      <w:r/>
      <w:bookmarkStart w:id="183" w:name="_Toc14577359"/>
      <w:r/>
      <w:bookmarkStart w:id="184" w:name="_Toc49090510"/>
      <w:r>
        <w:rPr>
          <w:rFonts w:hint="eastAsia" w:ascii="Arial" w:hAnsi="Arial" w:eastAsia="黑体" w:cs="Arial"/>
          <w:sz w:val="28"/>
          <w:szCs w:val="28"/>
          <w:highlight w:val="none"/>
        </w:rPr>
        <w:t xml:space="preserve">15、投标函和开标一览表</w:t>
      </w:r>
      <w:r/>
    </w:p>
    <w:p>
      <w:pPr>
        <w:ind w:firstLine="480"/>
        <w:spacing w:line="360" w:lineRule="auto"/>
        <w:rPr>
          <w:rFonts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3"/>
      <w:r/>
      <w:bookmarkEnd w:id="184"/>
      <w:r/>
      <w:r/>
    </w:p>
    <w:p>
      <w:pPr>
        <w:ind w:firstLine="420"/>
        <w:keepLines/>
        <w:keepNext/>
        <w:spacing w:line="360" w:lineRule="auto"/>
        <w:rPr>
          <w:rFonts w:ascii="Arial" w:hAnsi="Arial" w:eastAsia="黑体" w:cs="Arial"/>
          <w:sz w:val="28"/>
          <w:szCs w:val="28"/>
          <w:highlight w:val="none"/>
        </w:rPr>
        <w:outlineLvl w:val="3"/>
      </w:pPr>
      <w:r/>
      <w:bookmarkStart w:id="185" w:name="_Toc14577360"/>
      <w:r/>
      <w:bookmarkStart w:id="186" w:name="_Toc49090511"/>
      <w:r>
        <w:rPr>
          <w:rFonts w:hint="eastAsia" w:ascii="Arial" w:hAnsi="Arial" w:eastAsia="黑体" w:cs="Arial"/>
          <w:sz w:val="28"/>
          <w:szCs w:val="28"/>
          <w:highlight w:val="none"/>
        </w:rPr>
        <w:t xml:space="preserve">16、投标有效期</w:t>
      </w:r>
      <w:bookmarkEnd w:id="185"/>
      <w:r/>
      <w:bookmarkEnd w:id="186"/>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16.1投标有效期为采购人规定的开标之日后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。投标有效期比规定短的将被视为未实质性响应招标文件而予以拒绝。</w:t>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highlight w:val="none"/>
        </w:rPr>
        <w:t xml:space="preserve">受投标有效期约束的所有权利与义务均延长至新的有效期</w:t>
      </w:r>
      <w:r>
        <w:rPr>
          <w:rFonts w:hint="eastAsia" w:ascii="宋体" w:hAnsi="宋体"/>
          <w:bCs/>
          <w:sz w:val="24"/>
          <w:szCs w:val="21"/>
          <w:highlight w:val="none"/>
        </w:rPr>
        <w:t xml:space="preserve">。</w:t>
      </w:r>
      <w:r/>
    </w:p>
    <w:p>
      <w:pPr>
        <w:keepLines/>
        <w:keepNext/>
        <w:spacing w:line="360" w:lineRule="auto"/>
        <w:rPr>
          <w:b/>
          <w:bCs/>
          <w:sz w:val="32"/>
          <w:szCs w:val="32"/>
          <w:highlight w:val="none"/>
        </w:rPr>
        <w:outlineLvl w:val="2"/>
      </w:pPr>
      <w:r/>
      <w:bookmarkStart w:id="187" w:name="_Hlt26954739"/>
      <w:r/>
      <w:bookmarkEnd w:id="187"/>
      <w:r/>
      <w:bookmarkStart w:id="188" w:name="_Hlt26954852"/>
      <w:r/>
      <w:bookmarkEnd w:id="188"/>
      <w:r/>
      <w:bookmarkStart w:id="189" w:name="_Toc10826"/>
      <w:r/>
      <w:bookmarkStart w:id="190" w:name="_Toc9858"/>
      <w:r/>
      <w:bookmarkStart w:id="191" w:name="_Toc120614217"/>
      <w:r/>
      <w:bookmarkStart w:id="192" w:name="_Toc513029224"/>
      <w:r/>
      <w:bookmarkStart w:id="193" w:name="_Toc20823296"/>
      <w:r/>
      <w:bookmarkStart w:id="194" w:name="_Toc18316"/>
      <w:r/>
      <w:bookmarkStart w:id="195" w:name="_Toc12166"/>
      <w:r/>
      <w:bookmarkStart w:id="196" w:name="_Toc23476"/>
      <w:r/>
      <w:bookmarkStart w:id="197" w:name="_Toc16938540"/>
      <w:r>
        <w:rPr>
          <w:rFonts w:hint="eastAsia"/>
          <w:b/>
          <w:bCs/>
          <w:sz w:val="32"/>
          <w:szCs w:val="32"/>
          <w:highlight w:val="none"/>
        </w:rPr>
        <w:t xml:space="preserve">四、投标文件的递交</w:t>
      </w:r>
      <w:bookmarkEnd w:id="189"/>
      <w:r/>
      <w:bookmarkEnd w:id="190"/>
      <w:r/>
      <w:bookmarkEnd w:id="191"/>
      <w:r/>
      <w:bookmarkEnd w:id="192"/>
      <w:r/>
      <w:bookmarkEnd w:id="193"/>
      <w:r/>
      <w:bookmarkEnd w:id="194"/>
      <w:r/>
      <w:bookmarkEnd w:id="195"/>
      <w:r/>
      <w:bookmarkEnd w:id="196"/>
      <w:r/>
      <w:bookmarkEnd w:id="197"/>
      <w:r/>
      <w:r/>
    </w:p>
    <w:p>
      <w:pPr>
        <w:ind w:firstLine="420"/>
        <w:keepLines/>
        <w:keepNext/>
        <w:spacing w:line="360" w:lineRule="auto"/>
        <w:rPr>
          <w:rFonts w:ascii="黑体" w:hAnsi="Arial" w:eastAsia="黑体" w:cs="Arial"/>
          <w:sz w:val="28"/>
          <w:szCs w:val="28"/>
          <w:highlight w:val="none"/>
        </w:rPr>
        <w:outlineLvl w:val="3"/>
      </w:pPr>
      <w:r/>
      <w:bookmarkStart w:id="198" w:name="_Toc20823297"/>
      <w:r/>
      <w:bookmarkStart w:id="199" w:name="_Toc513029225"/>
      <w:r/>
      <w:bookmarkStart w:id="200" w:name="_Toc462564084"/>
      <w:r/>
      <w:bookmarkStart w:id="201" w:name="_Toc1693854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198"/>
      <w:r/>
      <w:bookmarkEnd w:id="199"/>
      <w:r/>
      <w:bookmarkEnd w:id="200"/>
      <w:r/>
      <w:bookmarkEnd w:id="201"/>
      <w:r>
        <w:rPr>
          <w:rFonts w:hint="eastAsia" w:ascii="黑体" w:hAnsi="Arial" w:eastAsia="黑体" w:cs="Arial"/>
          <w:sz w:val="28"/>
          <w:szCs w:val="28"/>
          <w:highlight w:val="none"/>
        </w:rPr>
        <w:t xml:space="preserve">的递交</w:t>
      </w:r>
      <w:r/>
    </w:p>
    <w:p>
      <w:pPr>
        <w:ind w:firstLine="480"/>
        <w:jc w:val="left"/>
        <w:spacing w:line="360" w:lineRule="auto"/>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w:t>
      </w:r>
      <w:r/>
    </w:p>
    <w:p>
      <w:pPr>
        <w:jc w:val="left"/>
        <w:spacing w:line="360" w:lineRule="auto"/>
        <w:rPr>
          <w:rFonts w:ascii="宋体" w:hAnsi="宋体"/>
          <w:bCs/>
          <w:sz w:val="24"/>
          <w:szCs w:val="21"/>
          <w:highlight w:val="none"/>
        </w:rPr>
      </w:pPr>
      <w:r>
        <w:rPr>
          <w:rFonts w:hint="eastAsia" w:ascii="宋体" w:hAnsi="宋体"/>
          <w:bCs/>
          <w:sz w:val="24"/>
          <w:szCs w:val="21"/>
          <w:highlight w:val="none"/>
        </w:rPr>
        <w:t xml:space="preserve">文件。</w:t>
      </w:r>
      <w:bookmarkStart w:id="202" w:name="_Toc16938542"/>
      <w:r/>
      <w:bookmarkStart w:id="203" w:name="_Toc513029226"/>
      <w:r/>
      <w:bookmarkStart w:id="204" w:name="_Toc20823298"/>
      <w:r/>
      <w:r/>
    </w:p>
    <w:p>
      <w:pPr>
        <w:ind w:firstLine="420"/>
        <w:keepLines/>
        <w:keepNext/>
        <w:spacing w:line="360" w:lineRule="auto"/>
        <w:rPr>
          <w:rFonts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2"/>
      <w:r/>
      <w:bookmarkEnd w:id="203"/>
      <w:r/>
      <w:bookmarkEnd w:id="204"/>
      <w:r/>
      <w:r/>
    </w:p>
    <w:p>
      <w:pPr>
        <w:ind w:firstLine="482"/>
        <w:spacing w:line="360" w:lineRule="auto"/>
        <w:rPr>
          <w:rFonts w:ascii="宋体" w:hAnsi="宋体"/>
          <w:b/>
          <w:bCs/>
          <w:iCs/>
          <w:sz w:val="24"/>
          <w:szCs w:val="21"/>
          <w:highlight w:val="none"/>
          <w:u w:val="single"/>
        </w:rPr>
      </w:pPr>
      <w:r>
        <w:rPr>
          <w:rFonts w:ascii="宋体" w:hAnsi="宋体"/>
          <w:b/>
          <w:bCs/>
          <w:iCs/>
          <w:sz w:val="24"/>
          <w:szCs w:val="21"/>
          <w:highlight w:val="none"/>
          <w:u w:val="single"/>
        </w:rPr>
        <w:t xml:space="preserve">19</w:t>
      </w:r>
      <w:r>
        <w:rPr>
          <w:rFonts w:hint="eastAsia" w:ascii="宋体" w:hAnsi="宋体"/>
          <w:b/>
          <w:bCs/>
          <w:iCs/>
          <w:sz w:val="24"/>
          <w:szCs w:val="21"/>
          <w:highlight w:val="none"/>
          <w:u w:val="single"/>
        </w:rPr>
        <w:t xml:space="preserve">.1 投标人上传电子投标文件的时间不得迟于招标公告中规定的投标截止时间。</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sz w:val="28"/>
          <w:szCs w:val="28"/>
          <w:highlight w:val="none"/>
        </w:rPr>
        <w:outlineLvl w:val="3"/>
      </w:pPr>
      <w:r/>
      <w:bookmarkStart w:id="205" w:name="_Toc16938543"/>
      <w:r/>
      <w:bookmarkStart w:id="206" w:name="_Toc20823299"/>
      <w:r/>
      <w:bookmarkStart w:id="207" w:name="_Toc51302922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05"/>
      <w:r/>
      <w:bookmarkEnd w:id="206"/>
      <w:r/>
      <w:bookmarkEnd w:id="207"/>
      <w:r>
        <w:rPr>
          <w:rFonts w:hint="eastAsia" w:ascii="Arial" w:hAnsi="Arial" w:eastAsia="黑体" w:cs="Arial"/>
          <w:sz w:val="28"/>
          <w:szCs w:val="28"/>
          <w:highlight w:val="none"/>
        </w:rPr>
        <w:t xml:space="preserve">的拒收</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20.1 采购人或采购代理机构拒绝接收在其规定的投标截止时间后上传的任何投标文件。</w:t>
      </w:r>
      <w:r/>
    </w:p>
    <w:p>
      <w:pPr>
        <w:ind w:firstLine="420"/>
        <w:keepLines/>
        <w:keepNext/>
        <w:spacing w:line="360" w:lineRule="auto"/>
        <w:rPr>
          <w:rFonts w:ascii="Arial" w:hAnsi="Arial" w:eastAsia="黑体" w:cs="Arial"/>
          <w:sz w:val="28"/>
          <w:szCs w:val="28"/>
          <w:highlight w:val="none"/>
        </w:rPr>
        <w:outlineLvl w:val="3"/>
      </w:pPr>
      <w:r/>
      <w:bookmarkStart w:id="208" w:name="_Toc20823300"/>
      <w:r/>
      <w:bookmarkStart w:id="209" w:name="_Toc513029228"/>
      <w:r/>
      <w:bookmarkStart w:id="210"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08"/>
      <w:r/>
      <w:bookmarkEnd w:id="209"/>
      <w:r/>
      <w:bookmarkEnd w:id="210"/>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 投标文件的修改</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p>
    <w:p>
      <w:pPr>
        <w:ind w:firstLine="482"/>
        <w:keepLines/>
        <w:keepNext/>
        <w:spacing w:line="360" w:lineRule="auto"/>
        <w:rPr>
          <w:b/>
          <w:bCs/>
          <w:sz w:val="32"/>
          <w:szCs w:val="32"/>
          <w:highlight w:val="none"/>
        </w:rPr>
        <w:outlineLvl w:val="2"/>
      </w:pPr>
      <w:r/>
      <w:bookmarkStart w:id="211" w:name="_Toc20823301"/>
      <w:r/>
      <w:bookmarkStart w:id="212" w:name="_Toc16680"/>
      <w:r/>
      <w:bookmarkStart w:id="213" w:name="_Toc245"/>
      <w:r/>
      <w:bookmarkStart w:id="214" w:name="_Toc120614218"/>
      <w:r/>
      <w:bookmarkStart w:id="215" w:name="_Toc16938545"/>
      <w:r/>
      <w:bookmarkStart w:id="216" w:name="_Toc2850"/>
      <w:r/>
      <w:bookmarkStart w:id="217" w:name="_Toc6935"/>
      <w:r/>
      <w:bookmarkStart w:id="218" w:name="_Toc13257"/>
      <w:r/>
      <w:bookmarkStart w:id="219" w:name="_Toc513029229"/>
      <w:r>
        <w:rPr>
          <w:rFonts w:hint="eastAsia"/>
          <w:b/>
          <w:bCs/>
          <w:sz w:val="32"/>
          <w:szCs w:val="32"/>
          <w:highlight w:val="none"/>
        </w:rPr>
        <w:t xml:space="preserve">五、开标与评标</w:t>
      </w:r>
      <w:bookmarkEnd w:id="211"/>
      <w:r/>
      <w:bookmarkEnd w:id="212"/>
      <w:r/>
      <w:bookmarkEnd w:id="213"/>
      <w:r/>
      <w:bookmarkEnd w:id="214"/>
      <w:r/>
      <w:bookmarkEnd w:id="215"/>
      <w:r/>
      <w:bookmarkEnd w:id="216"/>
      <w:r/>
      <w:bookmarkEnd w:id="217"/>
      <w:r/>
      <w:bookmarkEnd w:id="218"/>
      <w:r/>
      <w:bookmarkEnd w:id="219"/>
      <w:r/>
      <w:r/>
    </w:p>
    <w:p>
      <w:pPr>
        <w:ind w:firstLine="420"/>
        <w:keepLines/>
        <w:keepNext/>
        <w:spacing w:line="360" w:lineRule="auto"/>
        <w:rPr>
          <w:rFonts w:ascii="Arial" w:hAnsi="Arial" w:eastAsia="黑体" w:cs="Arial"/>
          <w:sz w:val="28"/>
          <w:szCs w:val="28"/>
          <w:highlight w:val="none"/>
        </w:rPr>
        <w:outlineLvl w:val="3"/>
      </w:pPr>
      <w:r/>
      <w:bookmarkStart w:id="220" w:name="_Toc20823302"/>
      <w:r/>
      <w:bookmarkStart w:id="221" w:name="_Toc513029230"/>
      <w:r/>
      <w:bookmarkStart w:id="222" w:name="_Toc16938546"/>
      <w:r>
        <w:rPr>
          <w:rFonts w:hint="eastAsia" w:ascii="Arial" w:hAnsi="Arial" w:eastAsia="黑体" w:cs="Arial"/>
          <w:sz w:val="28"/>
          <w:szCs w:val="28"/>
          <w:highlight w:val="none"/>
        </w:rPr>
        <w:t xml:space="preserve">22、开标</w:t>
      </w:r>
      <w:bookmarkEnd w:id="220"/>
      <w:r/>
      <w:bookmarkEnd w:id="221"/>
      <w:r/>
      <w:bookmarkEnd w:id="222"/>
      <w:r/>
      <w:r/>
    </w:p>
    <w:p>
      <w:pPr>
        <w:ind w:firstLine="360"/>
        <w:spacing w:line="360" w:lineRule="auto"/>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采购人将在招标公告中规定的时间和地点组织公开开标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2</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开标仪式由采购代理机构组织。苏采云系统将自动对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360" w:lineRule="auto"/>
        <w:rPr>
          <w:rFonts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2</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p>
    <w:p>
      <w:pPr>
        <w:ind w:firstLine="420"/>
        <w:keepLines/>
        <w:keepNext/>
        <w:spacing w:line="360" w:lineRule="auto"/>
        <w:rPr>
          <w:rFonts w:ascii="Arial" w:hAnsi="Arial" w:eastAsia="黑体" w:cs="Arial"/>
          <w:sz w:val="28"/>
          <w:szCs w:val="28"/>
          <w:highlight w:val="none"/>
        </w:rPr>
        <w:outlineLvl w:val="3"/>
      </w:pPr>
      <w:r/>
      <w:bookmarkStart w:id="223" w:name="_Toc20823303"/>
      <w:r/>
      <w:bookmarkStart w:id="224" w:name="_Toc513029231"/>
      <w:r/>
      <w:bookmarkStart w:id="225"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p>
    <w:p>
      <w:pPr>
        <w:spacing w:line="360" w:lineRule="auto"/>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开标后，采购人将立即组织评标委员会（以下简称评委会）进行评标。</w:t>
      </w:r>
      <w:r/>
    </w:p>
    <w:p>
      <w:pPr>
        <w:spacing w:line="360" w:lineRule="auto"/>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 评委会由采购人代表和有关技术、经济等方面的专家组成，且人员构成符合政府采购有关规定。</w:t>
      </w:r>
      <w:r/>
    </w:p>
    <w:p>
      <w:pPr>
        <w:spacing w:line="360" w:lineRule="auto"/>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.3评委会独立工作，负责评审所有投标文件并确定中标侯选人。</w:t>
      </w:r>
      <w:r/>
    </w:p>
    <w:p>
      <w:pPr>
        <w:ind w:firstLine="420"/>
        <w:keepLines/>
        <w:keepNext/>
        <w:spacing w:line="360" w:lineRule="auto"/>
        <w:rPr>
          <w:rFonts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bookmarkEnd w:id="223"/>
      <w:r/>
      <w:bookmarkEnd w:id="224"/>
      <w:r/>
      <w:bookmarkEnd w:id="225"/>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采购人、采购代理机构和评标委员会不向未中标的投标人解释未中标原因，也不公布评标过程中的相关细节。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4</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360" w:lineRule="auto"/>
        <w:rPr>
          <w:rFonts w:ascii="Arial" w:hAnsi="Arial" w:eastAsia="黑体" w:cs="Arial"/>
          <w:sz w:val="28"/>
          <w:szCs w:val="28"/>
          <w:highlight w:val="none"/>
        </w:rPr>
        <w:outlineLvl w:val="3"/>
      </w:pPr>
      <w:r/>
      <w:bookmarkStart w:id="226" w:name="_Toc20823304"/>
      <w:r/>
      <w:bookmarkStart w:id="227" w:name="_Toc513029232"/>
      <w:r/>
      <w:bookmarkStart w:id="228"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6"/>
      <w:r/>
      <w:bookmarkEnd w:id="227"/>
      <w:r/>
      <w:bookmarkEnd w:id="228"/>
      <w:r/>
      <w:r/>
    </w:p>
    <w:p>
      <w:pPr>
        <w:ind w:firstLine="480"/>
        <w:spacing w:line="360" w:lineRule="auto"/>
        <w:rPr>
          <w:rFonts w:ascii="宋体" w:hAnsi="宋体"/>
          <w:sz w:val="24"/>
          <w:szCs w:val="24"/>
          <w:highlight w:val="none"/>
        </w:rPr>
      </w:pPr>
      <w:r/>
      <w:bookmarkStart w:id="229" w:name="_Toc513029233"/>
      <w:r/>
      <w:bookmarkStart w:id="230" w:name="_Toc16938549"/>
      <w:r/>
      <w:bookmarkStart w:id="231" w:name="_Toc20823305"/>
      <w:r>
        <w:rPr>
          <w:rFonts w:ascii="宋体" w:hAnsi="宋体"/>
          <w:sz w:val="24"/>
          <w:szCs w:val="24"/>
          <w:highlight w:val="none"/>
        </w:rPr>
        <w:t xml:space="preserve">25</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5</w:t>
      </w:r>
      <w:r>
        <w:rPr>
          <w:rFonts w:hint="eastAsia" w:ascii="宋体" w:hAnsi="宋体"/>
          <w:sz w:val="24"/>
          <w:szCs w:val="24"/>
          <w:highlight w:val="none"/>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5</w:t>
      </w:r>
      <w:r>
        <w:rPr>
          <w:rFonts w:hint="eastAsia" w:ascii="宋体" w:hAnsi="宋体"/>
          <w:sz w:val="24"/>
          <w:szCs w:val="24"/>
          <w:highlight w:val="none"/>
        </w:rPr>
        <w:t xml:space="preserve">.3 接到评委会澄清、说明和补正要求的投标人如未按规定做出澄清、说明和补正，其风险由投标人自行承担。</w:t>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29"/>
      <w:r/>
      <w:bookmarkEnd w:id="230"/>
      <w:r/>
      <w:bookmarkEnd w:id="231"/>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bCs/>
          <w:sz w:val="24"/>
          <w:szCs w:val="21"/>
          <w:highlight w:val="none"/>
        </w:rPr>
      </w:pPr>
      <w:r>
        <w:rPr>
          <w:rFonts w:hint="eastAsia" w:ascii="宋体" w:hAnsi="宋体"/>
          <w:bCs/>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26.1.3政府采购异常低价审查：</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（一）评审过程中出现下列情形之一的，评审委员会应当启动异常低价投标（响应）审查程序：</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1.投标（响应）报价低于采购项目预算50%的，即投标（响应）报价&lt;采购项目预算×50%；</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2.投标（响应）报价低于采购项目最高限价45%的，即投标（响应）报价&lt;采购项目最高限价×45%；</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3.评审委员会认定的投标人报价过低、有可能影响产品质量或者不能诚信履约的其他情形。</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Cs/>
          <w:sz w:val="24"/>
          <w:szCs w:val="21"/>
          <w:highlight w:val="none"/>
        </w:rPr>
      </w:pPr>
      <w:r>
        <w:rPr>
          <w:rFonts w:hint="eastAsia" w:ascii="宋体" w:hAnsi="宋体"/>
          <w:b/>
          <w:sz w:val="24"/>
          <w:szCs w:val="21"/>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.1.4 未通过资格审查或符合性审查的投标人，采购代理机构将在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中告知未通过资格审查或符合性审查的原因，评审结束后，采购人或采购代理机构将不再告知未通过资格审查或符合性审查的原因。</w:t>
      </w:r>
      <w:r/>
    </w:p>
    <w:p>
      <w:pPr>
        <w:ind w:firstLine="480"/>
        <w:spacing w:line="360" w:lineRule="auto"/>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szCs w:val="21"/>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360" w:lineRule="auto"/>
        <w:rPr>
          <w:rFonts w:ascii="宋体" w:hAnsi="宋体"/>
          <w:sz w:val="24"/>
          <w:szCs w:val="21"/>
          <w:highlight w:val="none"/>
        </w:rPr>
      </w:pPr>
      <w:r/>
      <w:bookmarkStart w:id="232" w:name="_Toc16938550"/>
      <w:r/>
      <w:bookmarkStart w:id="233" w:name="_Toc513029234"/>
      <w:r/>
      <w:bookmarkStart w:id="234" w:name="_Toc20823306"/>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p>
    <w:p>
      <w:pPr>
        <w:ind w:firstLine="480"/>
        <w:spacing w:line="360" w:lineRule="auto"/>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p>
    <w:p>
      <w:pPr>
        <w:ind w:firstLine="420"/>
        <w:spacing w:line="360" w:lineRule="auto"/>
        <w:rPr>
          <w:rFonts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并安排专人与采购人、采购代理机构及评标委员会联系。</w:t>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32"/>
      <w:r/>
      <w:bookmarkEnd w:id="233"/>
      <w:r/>
      <w:bookmarkEnd w:id="234"/>
      <w:r>
        <w:rPr>
          <w:rFonts w:hint="eastAsia" w:ascii="Arial" w:hAnsi="Arial" w:eastAsia="黑体" w:cs="Arial"/>
          <w:sz w:val="28"/>
          <w:szCs w:val="28"/>
          <w:highlight w:val="none"/>
        </w:rPr>
        <w:t xml:space="preserve">无效投标条款和废标条款</w:t>
      </w:r>
      <w:r/>
    </w:p>
    <w:p>
      <w:pPr>
        <w:ind w:firstLine="480"/>
        <w:spacing w:line="360" w:lineRule="auto"/>
        <w:rPr>
          <w:rFonts w:ascii="宋体" w:hAnsi="宋体"/>
          <w:bCs/>
          <w:sz w:val="24"/>
          <w:szCs w:val="21"/>
          <w:highlight w:val="none"/>
        </w:rPr>
      </w:pPr>
      <w:r/>
      <w:bookmarkStart w:id="235" w:name="_Toc20823307"/>
      <w:r/>
      <w:bookmarkStart w:id="236" w:name="_Toc16938551"/>
      <w:r/>
      <w:bookmarkStart w:id="237" w:name="_Toc513029235"/>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p>
    <w:p>
      <w:pPr>
        <w:ind w:firstLine="480"/>
        <w:spacing w:line="360" w:lineRule="auto"/>
        <w:rPr>
          <w:rFonts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p>
    <w:p>
      <w:pPr>
        <w:ind w:firstLine="360"/>
        <w:spacing w:line="360" w:lineRule="auto"/>
        <w:rPr>
          <w:rFonts w:ascii="宋体" w:hAnsi="宋体"/>
          <w:b/>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10</w:t>
      </w:r>
      <w:r>
        <w:rPr>
          <w:rFonts w:hint="eastAsia" w:ascii="宋体" w:hAnsi="宋体"/>
          <w:bCs/>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1</w:t>
      </w:r>
      <w:r>
        <w:rPr>
          <w:rFonts w:hint="eastAsia" w:ascii="宋体" w:hAnsi="宋体"/>
          <w:bCs/>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2</w:t>
      </w:r>
      <w:r>
        <w:rPr>
          <w:rFonts w:hint="eastAsia" w:ascii="宋体" w:hAnsi="宋体"/>
          <w:bCs/>
          <w:sz w:val="24"/>
          <w:szCs w:val="21"/>
          <w:highlight w:val="none"/>
        </w:rPr>
        <w:t xml:space="preserve"> 投标文件未按照招标文件要求加盖CA电子公章的。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3</w:t>
      </w:r>
      <w:r>
        <w:rPr>
          <w:rFonts w:hint="eastAsia" w:ascii="宋体" w:hAnsi="宋体"/>
          <w:bCs/>
          <w:sz w:val="24"/>
          <w:szCs w:val="21"/>
          <w:highlight w:val="none"/>
        </w:rPr>
        <w:t xml:space="preserve">其他法律、法规及本招标文件规定的属无效投标的情形。</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27.2废标条款</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27.2.1符合专业条件的投标人或者对招标文件作实质响应的投标人不足三家的。27.2.2出现影响采购公正的违法、违规行为的。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27.2.3因重大变故，采购任务取消的。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27.2.4评标委员会认定招标文件存在歧义、重大缺陷导致评审工作无法进行。</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27.2.5 因苏采云系统故障原因造成开标不成功的。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27.3 投标截止时间结束后参加投标的投标人不足三家的处理：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27.3.1如出现投标截止时间结束后参加投标的投标人或者在评标期间对招标文件做出实质响应的投标人不足三家情况，按政府采购相关规定执行。</w:t>
      </w:r>
      <w:r/>
    </w:p>
    <w:p>
      <w:pPr>
        <w:ind w:firstLine="482"/>
        <w:keepLines/>
        <w:keepNext/>
        <w:spacing w:line="360" w:lineRule="auto"/>
        <w:rPr>
          <w:b/>
          <w:bCs/>
          <w:sz w:val="32"/>
          <w:szCs w:val="32"/>
          <w:highlight w:val="none"/>
        </w:rPr>
        <w:outlineLvl w:val="2"/>
      </w:pPr>
      <w:r/>
      <w:bookmarkStart w:id="238" w:name="_Toc2053"/>
      <w:r/>
      <w:bookmarkStart w:id="239" w:name="_Toc518"/>
      <w:r/>
      <w:bookmarkStart w:id="240" w:name="_Toc120614219"/>
      <w:r/>
      <w:bookmarkStart w:id="241" w:name="_Toc23694"/>
      <w:r/>
      <w:bookmarkStart w:id="242" w:name="_Toc12475"/>
      <w:r/>
      <w:bookmarkStart w:id="243" w:name="_Toc6168"/>
      <w:r>
        <w:rPr>
          <w:rFonts w:hint="eastAsia"/>
          <w:b/>
          <w:bCs/>
          <w:sz w:val="32"/>
          <w:szCs w:val="32"/>
          <w:highlight w:val="none"/>
        </w:rPr>
        <w:t xml:space="preserve">六、</w:t>
      </w:r>
      <w:bookmarkEnd w:id="235"/>
      <w:r/>
      <w:bookmarkEnd w:id="236"/>
      <w:r/>
      <w:bookmarkEnd w:id="237"/>
      <w:r>
        <w:rPr>
          <w:rFonts w:hint="eastAsia"/>
          <w:b/>
          <w:bCs/>
          <w:sz w:val="32"/>
          <w:szCs w:val="32"/>
          <w:highlight w:val="none"/>
        </w:rPr>
        <w:t xml:space="preserve">定标</w:t>
      </w:r>
      <w:bookmarkEnd w:id="238"/>
      <w:r/>
      <w:bookmarkEnd w:id="239"/>
      <w:r/>
      <w:bookmarkEnd w:id="240"/>
      <w:r/>
      <w:bookmarkEnd w:id="241"/>
      <w:r/>
      <w:bookmarkEnd w:id="242"/>
      <w:r/>
      <w:bookmarkEnd w:id="243"/>
      <w:r/>
      <w:r/>
    </w:p>
    <w:p>
      <w:pPr>
        <w:ind w:firstLine="600"/>
        <w:keepLines/>
        <w:keepNext/>
        <w:spacing w:line="360" w:lineRule="auto"/>
        <w:rPr>
          <w:rFonts w:ascii="黑体" w:hAnsi="宋体" w:eastAsia="黑体"/>
          <w:bCs/>
          <w:sz w:val="30"/>
          <w:szCs w:val="30"/>
          <w:highlight w:val="none"/>
        </w:rPr>
        <w:outlineLvl w:val="3"/>
      </w:pPr>
      <w:r/>
      <w:bookmarkStart w:id="244" w:name="_Toc513029238"/>
      <w:r/>
      <w:bookmarkStart w:id="245" w:name="_Toc20823310"/>
      <w:r/>
      <w:bookmarkStart w:id="246" w:name="_Toc16938554"/>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44"/>
      <w:r>
        <w:rPr>
          <w:rFonts w:hint="eastAsia" w:ascii="黑体" w:hAnsi="宋体" w:eastAsia="黑体"/>
          <w:bCs/>
          <w:sz w:val="30"/>
          <w:szCs w:val="30"/>
          <w:highlight w:val="none"/>
        </w:rPr>
        <w:t xml:space="preserve">确定</w:t>
      </w:r>
      <w:bookmarkEnd w:id="245"/>
      <w:r/>
      <w:bookmarkEnd w:id="246"/>
      <w:r>
        <w:rPr>
          <w:rFonts w:hint="eastAsia" w:ascii="黑体" w:hAnsi="宋体" w:eastAsia="黑体"/>
          <w:bCs/>
          <w:sz w:val="30"/>
          <w:szCs w:val="30"/>
          <w:highlight w:val="none"/>
        </w:rPr>
        <w:t xml:space="preserve">中标单位</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.1中标候选人的选取原则和数量见招标文件第五章规定。 </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8</w:t>
      </w:r>
      <w:r>
        <w:rPr>
          <w:rFonts w:hint="eastAsia" w:ascii="宋体" w:hAnsi="宋体"/>
          <w:bCs/>
          <w:sz w:val="24"/>
          <w:szCs w:val="24"/>
          <w:highlight w:val="none"/>
        </w:rPr>
        <w:t xml:space="preserve">.3 采购人或</w:t>
      </w:r>
      <w:r>
        <w:rPr>
          <w:rFonts w:hint="eastAsia" w:ascii="宋体" w:hAnsi="宋体"/>
          <w:sz w:val="24"/>
          <w:szCs w:val="24"/>
          <w:highlight w:val="none"/>
        </w:rPr>
        <w:t xml:space="preserve">采购代理机构将在“江苏政府采购网”发布中标公告，公告期限为1个工作日。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  若有充分证据证明，中标人出现下列情况之一的，一经查实，将被取消中标资格：</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.4.1提供虚假材料谋取中标的。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.4.2向采购人、采购代理机构行贿或者提供其他不正当利益的。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.4.3属于本文件规定的无效条件，但在评标过程中又未被评委会发现的。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.4.4与采购人或者其他投标人恶意串通的。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.4.5采取不正当手段诋毁、排挤其他投标人的。</w:t>
      </w:r>
      <w:r/>
    </w:p>
    <w:p>
      <w:pPr>
        <w:ind w:firstLine="480"/>
        <w:spacing w:line="360" w:lineRule="auto"/>
        <w:rPr>
          <w:rFonts w:ascii="宋体" w:hAnsi="宋体"/>
          <w:sz w:val="24"/>
          <w:szCs w:val="24"/>
          <w:highlight w:val="none"/>
        </w:rPr>
      </w:pPr>
      <w:r/>
      <w:bookmarkStart w:id="247" w:name="_Toc200451960"/>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w:t>
      </w:r>
      <w:r>
        <w:rPr>
          <w:rFonts w:hint="eastAsia"/>
          <w:szCs w:val="21"/>
          <w:highlight w:val="none"/>
        </w:rPr>
        <w:t xml:space="preserve">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.5.1不同投标人的投标文件由同一单位或者个人编制；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.5.2不同投标人委托同一单位或者个人办理投标事宜；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.5.3 不同投标人的投标文件载明的项目管理成员或者联系人员为同一人；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.5.4不同投标人的投标文件异常一致或者投标报价呈规律性差异；</w:t>
      </w:r>
      <w:r/>
    </w:p>
    <w:p>
      <w:pPr>
        <w:ind w:firstLine="600"/>
        <w:keepLines/>
        <w:keepNext/>
        <w:spacing w:line="360" w:lineRule="auto"/>
        <w:rPr>
          <w:rFonts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47"/>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提出质疑的投标人应当是参与所质疑项目采购活动的投标人。潜在投标人依法获取其可质疑的招标文件的，可以对招标文件提出质疑。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spacing w:line="360" w:lineRule="auto"/>
        <w:rPr>
          <w:rFonts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hAnsi="宋体" w:cs="宋体"/>
          <w:sz w:val="24"/>
          <w:szCs w:val="24"/>
          <w:highlight w:val="none"/>
        </w:rPr>
        <w:t xml:space="preserve">对可以质疑的</w:t>
      </w:r>
      <w:r>
        <w:rPr>
          <w:rFonts w:hint="eastAsia" w:hAnsi="宋体" w:cs="宋体"/>
          <w:sz w:val="24"/>
          <w:szCs w:val="24"/>
          <w:highlight w:val="none"/>
        </w:rPr>
        <w:t xml:space="preserve">招标文件</w:t>
      </w:r>
      <w:r>
        <w:rPr>
          <w:rFonts w:hAnsi="宋体" w:cs="宋体"/>
          <w:sz w:val="24"/>
          <w:szCs w:val="24"/>
          <w:highlight w:val="none"/>
        </w:rPr>
        <w:t xml:space="preserve">提出质疑的，为收到</w:t>
      </w:r>
      <w:r>
        <w:rPr>
          <w:rFonts w:hint="eastAsia" w:hAnsi="宋体" w:cs="宋体"/>
          <w:sz w:val="24"/>
          <w:szCs w:val="24"/>
          <w:highlight w:val="none"/>
        </w:rPr>
        <w:t xml:space="preserve">招标文件</w:t>
      </w:r>
      <w:r>
        <w:rPr>
          <w:rFonts w:hAnsi="宋体" w:cs="宋体"/>
          <w:sz w:val="24"/>
          <w:szCs w:val="24"/>
          <w:highlight w:val="none"/>
        </w:rPr>
        <w:t xml:space="preserve">之日或者</w:t>
      </w:r>
      <w:r>
        <w:rPr>
          <w:rFonts w:hint="eastAsia" w:hAnsi="宋体" w:cs="宋体"/>
          <w:sz w:val="24"/>
          <w:szCs w:val="24"/>
          <w:highlight w:val="none"/>
        </w:rPr>
        <w:t xml:space="preserve">招标文件</w:t>
      </w:r>
      <w:r>
        <w:rPr>
          <w:rFonts w:hAnsi="宋体" w:cs="宋体"/>
          <w:sz w:val="24"/>
          <w:szCs w:val="24"/>
          <w:highlight w:val="none"/>
        </w:rPr>
        <w:t xml:space="preserve">公告期限届满之日；</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p>
    <w:p>
      <w:pPr>
        <w:ind w:firstLine="480"/>
        <w:spacing w:line="360" w:lineRule="auto"/>
        <w:rPr>
          <w:rFonts w:hAnsi="宋体" w:cs="宋体"/>
          <w:sz w:val="24"/>
          <w:szCs w:val="24"/>
          <w:highlight w:val="none"/>
        </w:rPr>
      </w:pPr>
      <w:r>
        <w:rPr>
          <w:rFonts w:hint="eastAsia" w:hAnsi="宋体"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highlight w:val="none"/>
        </w:rPr>
        <w:t xml:space="preserve">采购人</w:t>
      </w:r>
      <w:r>
        <w:rPr>
          <w:rFonts w:hint="eastAsia" w:hAnsi="宋体" w:cs="宋体"/>
          <w:sz w:val="24"/>
          <w:szCs w:val="24"/>
          <w:highlight w:val="none"/>
        </w:rPr>
        <w:t xml:space="preserve">将只对投标人第一次质疑作出答复。</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 投标人（含潜在投标人）对</w:t>
      </w:r>
      <w:r>
        <w:rPr>
          <w:rFonts w:ascii="宋体" w:hAnsi="宋体"/>
          <w:sz w:val="24"/>
          <w:szCs w:val="24"/>
          <w:highlight w:val="none"/>
        </w:rPr>
        <w:t xml:space="preserve">采购方式、</w:t>
      </w:r>
      <w:r>
        <w:rPr>
          <w:rFonts w:hint="eastAsia" w:ascii="宋体" w:hAnsi="宋体"/>
          <w:sz w:val="24"/>
          <w:szCs w:val="24"/>
          <w:highlight w:val="none"/>
        </w:rPr>
        <w:t xml:space="preserve">招标文件中采购</w:t>
      </w:r>
      <w:r>
        <w:rPr>
          <w:rFonts w:ascii="宋体" w:hAnsi="宋体"/>
          <w:sz w:val="24"/>
          <w:szCs w:val="24"/>
          <w:highlight w:val="none"/>
        </w:rPr>
        <w:t xml:space="preserve">需求</w:t>
      </w:r>
      <w:r>
        <w:rPr>
          <w:rFonts w:hint="eastAsia" w:ascii="宋体" w:hAnsi="宋体"/>
          <w:sz w:val="24"/>
          <w:szCs w:val="24"/>
          <w:highlight w:val="none"/>
        </w:rPr>
        <w:t xml:space="preserve">、</w:t>
      </w:r>
      <w:r>
        <w:rPr>
          <w:rFonts w:ascii="宋体" w:hAnsi="宋体"/>
          <w:sz w:val="24"/>
          <w:szCs w:val="24"/>
          <w:highlight w:val="none"/>
        </w:rPr>
        <w:t xml:space="preserve">合同文本</w:t>
      </w:r>
      <w:r>
        <w:rPr>
          <w:rFonts w:hint="eastAsia" w:ascii="宋体" w:hAnsi="宋体"/>
          <w:sz w:val="24"/>
          <w:szCs w:val="24"/>
          <w:highlight w:val="none"/>
        </w:rPr>
        <w:t xml:space="preserve">及</w:t>
      </w:r>
      <w:r>
        <w:rPr>
          <w:rFonts w:ascii="宋体" w:hAnsi="宋体"/>
          <w:sz w:val="24"/>
          <w:szCs w:val="24"/>
          <w:highlight w:val="none"/>
        </w:rPr>
        <w:t xml:space="preserve">资格</w:t>
      </w:r>
      <w:r>
        <w:rPr>
          <w:rFonts w:hint="eastAsia" w:ascii="宋体" w:hAnsi="宋体"/>
          <w:sz w:val="24"/>
          <w:szCs w:val="24"/>
          <w:highlight w:val="none"/>
        </w:rPr>
        <w:t xml:space="preserve">审查结果的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投标人对投标人资格条件、评标方法和评标标准的询问</w:t>
      </w:r>
      <w:r>
        <w:rPr>
          <w:rFonts w:ascii="宋体" w:hAnsi="宋体"/>
          <w:sz w:val="24"/>
          <w:szCs w:val="24"/>
          <w:highlight w:val="none"/>
        </w:rPr>
        <w:t xml:space="preserve">、质疑请向采购</w:t>
      </w:r>
      <w:r>
        <w:rPr>
          <w:rFonts w:hint="eastAsia" w:ascii="宋体" w:hAnsi="宋体"/>
          <w:sz w:val="24"/>
          <w:szCs w:val="24"/>
          <w:highlight w:val="none"/>
        </w:rPr>
        <w:t xml:space="preserve">代理机构</w:t>
      </w:r>
      <w:r>
        <w:rPr>
          <w:rFonts w:ascii="宋体" w:hAnsi="宋体"/>
          <w:sz w:val="24"/>
          <w:szCs w:val="24"/>
          <w:highlight w:val="none"/>
        </w:rPr>
        <w:t xml:space="preserve">提出，由采购</w:t>
      </w:r>
      <w:r>
        <w:rPr>
          <w:rFonts w:hint="eastAsia" w:ascii="宋体" w:hAnsi="宋体"/>
          <w:sz w:val="24"/>
          <w:szCs w:val="24"/>
          <w:highlight w:val="none"/>
        </w:rPr>
        <w:t xml:space="preserve">代理机构负责</w:t>
      </w:r>
      <w:r>
        <w:rPr>
          <w:rFonts w:ascii="宋体" w:hAnsi="宋体"/>
          <w:sz w:val="24"/>
          <w:szCs w:val="24"/>
          <w:highlight w:val="none"/>
        </w:rPr>
        <w:t xml:space="preserve">答复。</w:t>
      </w:r>
      <w:r>
        <w:rPr>
          <w:rFonts w:hint="eastAsia" w:ascii="宋体" w:hAnsi="宋体"/>
          <w:b/>
          <w:sz w:val="24"/>
          <w:szCs w:val="24"/>
          <w:highlight w:val="none"/>
        </w:rPr>
        <w:t xml:space="preserve"> </w:t>
      </w:r>
      <w:r/>
    </w:p>
    <w:p>
      <w:pPr>
        <w:ind w:firstLine="482"/>
        <w:spacing w:line="360" w:lineRule="auto"/>
        <w:rPr>
          <w:rFonts w:ascii="宋体" w:hAnsi="宋体"/>
          <w:sz w:val="24"/>
          <w:szCs w:val="24"/>
          <w:highlight w:val="none"/>
        </w:rPr>
      </w:pPr>
      <w:r>
        <w:rPr>
          <w:rFonts w:hint="eastAsia" w:ascii="宋体" w:hAnsi="宋体"/>
          <w:b/>
          <w:bCs/>
          <w:sz w:val="24"/>
          <w:szCs w:val="24"/>
          <w:highlight w:val="none"/>
        </w:rPr>
        <w:t xml:space="preserve">采购人及采购代理机构只接收以纸质原件形式送达的质疑，投标人可以通过现场递交或邮寄方式提交质疑</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采购代理机构质疑接收部门为江苏鸿成工程项目管理有限公司招标代理部，联系地址：连云港市海州区郁州北路9号瀛洲大厦2楼209室，联系电话：0518-81061799</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采购人质疑接收人及联系方式见招标文件第一章。</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未参加投标活动的投标人或在投标活动中自身权益未受到损害的投标人所提出的质疑。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.5.5投标人组成联合体参加投标，联合体中任何一方或多方未按要求签字、盖章、加盖公章的质疑。</w:t>
      </w:r>
      <w:r/>
    </w:p>
    <w:p>
      <w:pPr>
        <w:ind w:firstLine="468"/>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p>
    <w:p>
      <w:pPr>
        <w:ind w:firstLine="600"/>
        <w:spacing w:line="360" w:lineRule="auto"/>
        <w:rPr>
          <w:rFonts w:ascii="宋体" w:hAnsi="宋体"/>
          <w:b/>
          <w:sz w:val="24"/>
          <w:szCs w:val="24"/>
          <w:highlight w:val="none"/>
        </w:rPr>
      </w:pPr>
      <w:r>
        <w:rPr>
          <w:rFonts w:ascii="宋体" w:hAnsi="宋体"/>
          <w:sz w:val="24"/>
          <w:szCs w:val="24"/>
          <w:highlight w:val="none"/>
        </w:rPr>
        <w:t xml:space="preserve">30</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bCs/>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b/>
          <w:sz w:val="24"/>
          <w:szCs w:val="24"/>
          <w:highlight w:val="none"/>
        </w:rPr>
        <w:t xml:space="preserve">中标人在领取中标通知书时，需提供五份与电子投标文件一致的纸质打印投标文件，须封面、骑缝加盖公章。</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keepLines/>
        <w:keepNext/>
        <w:spacing w:line="360" w:lineRule="auto"/>
        <w:rPr>
          <w:b/>
          <w:bCs/>
          <w:sz w:val="32"/>
          <w:szCs w:val="32"/>
          <w:highlight w:val="none"/>
        </w:rPr>
        <w:outlineLvl w:val="2"/>
      </w:pPr>
      <w:r/>
      <w:bookmarkStart w:id="248" w:name="_Toc16938552"/>
      <w:r/>
      <w:bookmarkStart w:id="249" w:name="_Toc20823308"/>
      <w:r/>
      <w:bookmarkStart w:id="250" w:name="_Toc5539"/>
      <w:r/>
      <w:bookmarkStart w:id="251" w:name="_Toc16978"/>
      <w:r/>
      <w:bookmarkStart w:id="252" w:name="_Toc513029236"/>
      <w:r/>
      <w:bookmarkStart w:id="253" w:name="_Toc16265"/>
      <w:r/>
      <w:bookmarkStart w:id="254" w:name="_Toc6083"/>
      <w:r/>
      <w:bookmarkStart w:id="255" w:name="_Toc120614220"/>
      <w:r/>
      <w:bookmarkStart w:id="256" w:name="_Toc28119"/>
      <w:r>
        <w:rPr>
          <w:rFonts w:hint="eastAsia"/>
          <w:b/>
          <w:bCs/>
          <w:sz w:val="32"/>
          <w:szCs w:val="32"/>
          <w:highlight w:val="none"/>
        </w:rPr>
        <w:t xml:space="preserve">七、授予合同</w:t>
      </w:r>
      <w:bookmarkEnd w:id="248"/>
      <w:r/>
      <w:bookmarkEnd w:id="249"/>
      <w:r/>
      <w:bookmarkEnd w:id="250"/>
      <w:r/>
      <w:bookmarkEnd w:id="251"/>
      <w:r/>
      <w:bookmarkEnd w:id="252"/>
      <w:r/>
      <w:bookmarkEnd w:id="253"/>
      <w:r/>
      <w:bookmarkEnd w:id="254"/>
      <w:r/>
      <w:bookmarkEnd w:id="255"/>
      <w:r/>
      <w:bookmarkEnd w:id="256"/>
      <w:r/>
      <w:r/>
    </w:p>
    <w:p>
      <w:pPr>
        <w:ind w:firstLine="600"/>
        <w:keepLines/>
        <w:keepNext/>
        <w:spacing w:line="360" w:lineRule="auto"/>
        <w:rPr>
          <w:rFonts w:ascii="黑体" w:hAnsi="宋体" w:eastAsia="黑体"/>
          <w:bCs/>
          <w:sz w:val="30"/>
          <w:szCs w:val="30"/>
          <w:highlight w:val="none"/>
        </w:rPr>
        <w:outlineLvl w:val="3"/>
      </w:pPr>
      <w:r/>
      <w:bookmarkStart w:id="257" w:name="_Toc16938553"/>
      <w:r/>
      <w:bookmarkStart w:id="258" w:name="_Toc20823309"/>
      <w:r/>
      <w:bookmarkStart w:id="259"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360" w:lineRule="auto"/>
        <w:rPr>
          <w:rFonts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.l中标人应当在中标通知书发出之日起三十日内，按照招标文件确定的事项与采购人签订政府采购合同。</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31.3 签订合同后，</w:t>
      </w:r>
      <w:r>
        <w:rPr>
          <w:rFonts w:hint="eastAsia" w:ascii="宋体" w:hAnsi="宋体"/>
          <w:b/>
          <w:bCs/>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57"/>
      <w:r/>
      <w:bookmarkEnd w:id="258"/>
      <w:r/>
      <w:bookmarkEnd w:id="259"/>
      <w:r/>
      <w:r/>
    </w:p>
    <w:p>
      <w:pPr>
        <w:ind w:firstLine="600"/>
        <w:keepLines/>
        <w:keepNext/>
        <w:spacing w:line="360" w:lineRule="auto"/>
        <w:rPr>
          <w:rFonts w:ascii="黑体" w:hAnsi="宋体" w:eastAsia="黑体"/>
          <w:bCs/>
          <w:sz w:val="30"/>
          <w:szCs w:val="30"/>
          <w:highlight w:val="none"/>
        </w:rPr>
        <w:outlineLvl w:val="3"/>
      </w:pPr>
      <w:r/>
      <w:bookmarkStart w:id="260" w:name="_Toc479757207"/>
      <w:r/>
      <w:bookmarkStart w:id="261" w:name="_Toc513029242"/>
      <w:r/>
      <w:bookmarkStart w:id="262" w:name="_Toc20823314"/>
      <w:r/>
      <w:bookmarkStart w:id="263" w:name="_Toc16938558"/>
      <w:r/>
      <w:bookmarkStart w:id="264" w:name="_Toc120614221"/>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、政府采购履约资金扶持政策</w:t>
      </w:r>
      <w:r/>
    </w:p>
    <w:p>
      <w:pPr>
        <w:ind w:firstLine="555"/>
        <w:spacing w:line="360" w:lineRule="auto"/>
        <w:rPr>
          <w:rFonts w:ascii="宋体" w:hAnsi="宋体"/>
          <w:bCs/>
          <w:sz w:val="24"/>
          <w:szCs w:val="24"/>
          <w:highlight w:val="none"/>
        </w:rPr>
      </w:pPr>
      <w:r>
        <w:rPr>
          <w:rFonts w:hint="eastAsia" w:ascii="宋体" w:hAnsi="宋体"/>
          <w:bCs/>
          <w:sz w:val="24"/>
          <w:szCs w:val="24"/>
          <w:highlight w:val="none"/>
        </w:rPr>
        <w:t xml:space="preserve">中标人可凭政府采购合同办理融资贷款，详情请见江苏政府采购网“政采贷”专栏。</w:t>
      </w:r>
      <w:r/>
    </w:p>
    <w:p>
      <w:pPr>
        <w:keepLines/>
        <w:keepNext/>
        <w:spacing w:line="360" w:lineRule="auto"/>
        <w:rPr>
          <w:b/>
          <w:bCs/>
          <w:sz w:val="32"/>
          <w:szCs w:val="32"/>
          <w:highlight w:val="none"/>
        </w:rPr>
        <w:outlineLvl w:val="2"/>
      </w:pPr>
      <w:r/>
      <w:bookmarkStart w:id="265" w:name="_Toc27968"/>
      <w:r/>
      <w:bookmarkStart w:id="266" w:name="_Toc1717"/>
      <w:r/>
      <w:bookmarkStart w:id="267" w:name="_Toc10165"/>
      <w:r/>
      <w:bookmarkStart w:id="268" w:name="_Toc28632"/>
      <w:r/>
      <w:bookmarkStart w:id="269" w:name="_Toc13962"/>
      <w:r>
        <w:rPr>
          <w:rFonts w:hint="eastAsia"/>
          <w:b/>
          <w:bCs/>
          <w:sz w:val="32"/>
          <w:szCs w:val="32"/>
          <w:highlight w:val="none"/>
        </w:rPr>
        <w:t xml:space="preserve">八、政策功能</w:t>
      </w:r>
      <w:bookmarkEnd w:id="265"/>
      <w:r/>
      <w:bookmarkEnd w:id="266"/>
      <w:r/>
      <w:bookmarkEnd w:id="267"/>
      <w:r/>
      <w:bookmarkEnd w:id="268"/>
      <w:r/>
      <w:bookmarkEnd w:id="269"/>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34、落实的政府采购政策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34.1价格给予扣除标准：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本项目执行财政部、工业和信息化部</w:t>
      </w:r>
      <w:r>
        <w:rPr>
          <w:rFonts w:hint="eastAsia" w:ascii="宋体" w:hAnsi="宋体"/>
          <w:sz w:val="24"/>
          <w:szCs w:val="24"/>
          <w:highlight w:val="none"/>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本项目价格扣除计算方法如下：参与报价得分计算的价格＝投标人的投标报价-小型、微型企业、监狱企业、残疾人福利性单位的投标报价×10%。</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34.2对于小型、微型企业、监狱企业、残疾人福利性单位报价以扣除优惠比率后的价格参与评审，但不作为中标价和合同签约价。中标价和合同签约价仍以其投标文件中的一次报价为准。</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34.3 参加政府采购活动的投标人享受价格评审优惠的应当提供的材料： </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34.3.1 投标人提供的货物全部由小微企业制造的，提供《中小企业声明函》（第六章 投标文件格式）。</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34.3.2 投标人为残疾人福利性单位且提供的货物全部由残疾人福利性单位制造的，符合财库〔2017〕141号文件规定条件的残疾人福利性单位视同小型、微型企业，提供《残疾人福利性单位声明函》（第六章 投标文件格式）。</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34.3.3 投标人为监狱企业或提供的货物由监狱企业制造的，提供省级以上监狱管理局、戒毒管理局（含新疆生产建设兵团）出具的属于监狱企业的证明文件，视同小型、微型企业。</w:t>
      </w: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34.3.4 投标人按照本办法规定提供声明函内容不实的，属于提供虚假材料谋取中标、成交，依照《中华人民共和国政府采购法》等国家有关规定追究相应责任。</w:t>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35、支持绿色发展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黑体" w:hAnsi="宋体" w:eastAsia="黑体"/>
          <w:bCs/>
          <w:sz w:val="30"/>
          <w:szCs w:val="30"/>
          <w:highlight w:val="none"/>
        </w:rPr>
      </w:pPr>
      <w:r>
        <w:rPr>
          <w:rFonts w:hint="eastAsia" w:ascii="宋体" w:hAnsi="宋体"/>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spacing w:line="360" w:lineRule="auto"/>
        <w:rPr>
          <w:rFonts w:ascii="黑体" w:hAnsi="宋体" w:eastAsia="黑体"/>
          <w:bCs/>
          <w:sz w:val="30"/>
          <w:szCs w:val="30"/>
          <w:highlight w:val="none"/>
        </w:rPr>
      </w:pPr>
      <w:r>
        <w:rPr>
          <w:rFonts w:hint="eastAsia" w:ascii="黑体" w:hAnsi="宋体" w:eastAsia="黑体"/>
          <w:bCs/>
          <w:sz w:val="30"/>
          <w:szCs w:val="30"/>
          <w:highlight w:val="none"/>
        </w:rPr>
        <w:t xml:space="preserve">政府采购需求标准</w:t>
      </w:r>
      <w:r/>
    </w:p>
    <w:p>
      <w:pPr>
        <w:ind w:firstLine="480"/>
        <w:spacing w:line="360" w:lineRule="auto"/>
        <w:rPr>
          <w:sz w:val="24"/>
          <w:szCs w:val="24"/>
          <w:highlight w:val="none"/>
        </w:rPr>
      </w:pPr>
      <w:r>
        <w:rPr>
          <w:rFonts w:hint="eastAsia"/>
          <w:sz w:val="24"/>
          <w:szCs w:val="24"/>
          <w:highlight w:val="none"/>
        </w:rPr>
        <w:t xml:space="preserve">36.1本项目执行《绿色数据中</w:t>
      </w:r>
      <w:r>
        <w:rPr>
          <w:rFonts w:hint="eastAsia"/>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jc w:val="center"/>
        <w:keepNext/>
        <w:spacing w:line="360" w:lineRule="auto"/>
        <w:rPr>
          <w:rStyle w:val="1138"/>
          <w:highlight w:val="none"/>
        </w:rPr>
        <w:outlineLvl w:val="0"/>
      </w:pPr>
      <w:r/>
      <w:bookmarkStart w:id="270" w:name="_Toc22233"/>
      <w:r/>
      <w:bookmarkStart w:id="271" w:name="_Toc28557"/>
      <w:r/>
      <w:bookmarkStart w:id="272" w:name="_Toc32326"/>
      <w:r/>
      <w:bookmarkStart w:id="273" w:name="_Toc14282"/>
      <w:r>
        <w:rPr>
          <w:rStyle w:val="1138"/>
          <w:rFonts w:hint="eastAsia"/>
          <w:highlight w:val="none"/>
        </w:rPr>
        <w:t xml:space="preserve">第三章  合同</w:t>
      </w:r>
      <w:bookmarkEnd w:id="260"/>
      <w:r/>
      <w:bookmarkEnd w:id="261"/>
      <w:r/>
      <w:bookmarkEnd w:id="262"/>
      <w:r/>
      <w:bookmarkEnd w:id="263"/>
      <w:r/>
      <w:bookmarkEnd w:id="264"/>
      <w:r>
        <w:rPr>
          <w:rStyle w:val="1138"/>
          <w:rFonts w:hint="eastAsia"/>
          <w:highlight w:val="none"/>
        </w:rPr>
        <w:t xml:space="preserve">文本</w:t>
      </w:r>
      <w:bookmarkEnd w:id="270"/>
      <w:r/>
      <w:bookmarkEnd w:id="271"/>
      <w:r/>
      <w:bookmarkEnd w:id="272"/>
      <w:r/>
      <w:bookmarkEnd w:id="273"/>
      <w:r/>
      <w:r/>
    </w:p>
    <w:p>
      <w:pPr>
        <w:pStyle w:val="1238"/>
        <w:jc w:val="center"/>
        <w:spacing w:line="360" w:lineRule="auto"/>
        <w:rPr>
          <w:sz w:val="36"/>
          <w:szCs w:val="36"/>
          <w:highlight w:val="none"/>
        </w:rPr>
      </w:pPr>
      <w:r/>
      <w:bookmarkStart w:id="274" w:name="_Toc20823315"/>
      <w:r/>
      <w:bookmarkStart w:id="275" w:name="_Toc513029243"/>
      <w:r/>
      <w:bookmarkStart w:id="276" w:name="_Toc16938559"/>
      <w:r/>
      <w:r/>
    </w:p>
    <w:p>
      <w:pPr>
        <w:pStyle w:val="1238"/>
        <w:jc w:val="center"/>
        <w:spacing w:line="360" w:lineRule="auto"/>
        <w:rPr>
          <w:sz w:val="36"/>
          <w:szCs w:val="36"/>
          <w:highlight w:val="none"/>
        </w:rPr>
      </w:pPr>
      <w:r>
        <w:rPr>
          <w:sz w:val="36"/>
          <w:szCs w:val="36"/>
          <w:highlight w:val="none"/>
        </w:rPr>
      </w:r>
      <w:r/>
    </w:p>
    <w:p>
      <w:pPr>
        <w:pStyle w:val="1238"/>
        <w:jc w:val="center"/>
        <w:spacing w:line="360" w:lineRule="auto"/>
        <w:rPr>
          <w:sz w:val="36"/>
          <w:szCs w:val="36"/>
          <w:highlight w:val="none"/>
        </w:rPr>
      </w:pPr>
      <w:r>
        <w:rPr>
          <w:sz w:val="36"/>
          <w:szCs w:val="36"/>
          <w:highlight w:val="none"/>
        </w:rPr>
      </w:r>
      <w:r/>
    </w:p>
    <w:p>
      <w:pPr>
        <w:pStyle w:val="1238"/>
        <w:jc w:val="center"/>
        <w:spacing w:line="360" w:lineRule="auto"/>
        <w:rPr>
          <w:sz w:val="36"/>
          <w:szCs w:val="36"/>
          <w:highlight w:val="none"/>
        </w:rPr>
      </w:pPr>
      <w:r>
        <w:rPr>
          <w:rFonts w:hint="eastAsia"/>
          <w:sz w:val="36"/>
          <w:szCs w:val="36"/>
          <w:highlight w:val="none"/>
        </w:rPr>
        <w:t xml:space="preserve">政 府 采 购 合同</w:t>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rFonts w:hint="eastAsia"/>
          <w:sz w:val="36"/>
          <w:szCs w:val="36"/>
          <w:highlight w:val="none"/>
        </w:rPr>
        <w:t xml:space="preserve">合同编号：</w:t>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rFonts w:hint="eastAsia"/>
          <w:sz w:val="36"/>
          <w:szCs w:val="36"/>
          <w:highlight w:val="none"/>
        </w:rPr>
        <w:t xml:space="preserve">采购人：</w:t>
      </w:r>
      <w:r/>
    </w:p>
    <w:p>
      <w:pPr>
        <w:pStyle w:val="1238"/>
        <w:ind w:firstLine="2520"/>
        <w:spacing w:line="360" w:lineRule="auto"/>
        <w:rPr>
          <w:sz w:val="36"/>
          <w:szCs w:val="36"/>
          <w:highlight w:val="none"/>
        </w:rPr>
      </w:pPr>
      <w:r>
        <w:rPr>
          <w:rFonts w:hint="eastAsia"/>
          <w:sz w:val="36"/>
          <w:szCs w:val="36"/>
          <w:highlight w:val="none"/>
        </w:rPr>
        <w:t xml:space="preserve">中标人：</w:t>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ind w:firstLine="480"/>
        <w:spacing w:line="360" w:lineRule="auto"/>
        <w:rPr>
          <w:rFonts w:ascii="宋体" w:hAnsi="宋体"/>
          <w:bCs/>
          <w:sz w:val="24"/>
          <w:szCs w:val="21"/>
          <w:highlight w:val="none"/>
        </w:rPr>
      </w:pPr>
      <w:r>
        <w:rPr>
          <w:rFonts w:ascii="宋体" w:hAnsi="宋体"/>
          <w:bCs/>
          <w:sz w:val="24"/>
          <w:szCs w:val="21"/>
          <w:highlight w:val="none"/>
        </w:rPr>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以下为中标后签定本项目合同的通用条款，中标人不得提出实质性的修改，关于专用条款将由采购人与中标人结合本项目具体情况协商后签订。</w:t>
      </w:r>
      <w:bookmarkEnd w:id="274"/>
      <w:r/>
      <w:bookmarkEnd w:id="275"/>
      <w:r/>
      <w:bookmarkEnd w:id="276"/>
      <w:r/>
      <w:r/>
    </w:p>
    <w:p>
      <w:pPr>
        <w:pStyle w:val="1238"/>
        <w:spacing w:line="360" w:lineRule="auto"/>
        <w:rPr>
          <w:highlight w:val="none"/>
        </w:rPr>
      </w:pPr>
      <w:r/>
      <w:bookmarkStart w:id="277" w:name="_Hlt16619350"/>
      <w:r/>
      <w:bookmarkStart w:id="278" w:name="_Toc120614244"/>
      <w:r/>
      <w:bookmarkStart w:id="279" w:name="_Toc16938590"/>
      <w:r/>
      <w:bookmarkStart w:id="280" w:name="_Toc20823346"/>
      <w:r/>
      <w:bookmarkStart w:id="281" w:name="_Toc479757211"/>
      <w:r/>
      <w:bookmarkStart w:id="282" w:name="_Toc462564139"/>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甲方：</w:t>
      </w:r>
      <w:r>
        <w:rPr>
          <w:rFonts w:hint="eastAsia" w:ascii="宋体" w:hAnsi="宋体"/>
          <w:b/>
          <w:color w:val="000000"/>
          <w:sz w:val="24"/>
          <w:highlight w:val="none"/>
          <w:u w:val="single"/>
        </w:rPr>
        <w:t xml:space="preserve">                     </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u w:val="single"/>
        </w:rPr>
        <w:t xml:space="preserve">                     </w:t>
      </w:r>
      <w:r/>
    </w:p>
    <w:p>
      <w:pPr>
        <w:ind w:firstLine="480"/>
        <w:jc w:val="left"/>
        <w:spacing w:line="560" w:lineRule="exact"/>
        <w:rPr>
          <w:rFonts w:ascii="宋体" w:hAnsi="宋体"/>
          <w:b/>
          <w:color w:val="000000"/>
          <w:sz w:val="24"/>
          <w:highlight w:val="none"/>
        </w:rPr>
      </w:pPr>
      <w:r>
        <w:rPr>
          <w:rFonts w:ascii="宋体" w:hAnsi="宋体"/>
          <w:color w:val="000000"/>
          <w:sz w:val="24"/>
          <w:highlight w:val="none"/>
        </w:rPr>
        <w:t xml:space="preserve">甲、乙双方根据</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年</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月</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日</w:t>
      </w:r>
      <w:r>
        <w:rPr>
          <w:rFonts w:hint="eastAsia" w:ascii="宋体" w:hAnsi="宋体"/>
          <w:b/>
          <w:bCs/>
          <w:color w:val="000000"/>
          <w:sz w:val="24"/>
          <w:szCs w:val="20"/>
          <w:highlight w:val="none"/>
          <w:u w:val="single"/>
        </w:rPr>
        <w:t xml:space="preserve">   </w:t>
      </w:r>
      <w:r>
        <w:rPr>
          <w:rFonts w:ascii="宋体" w:hAnsi="宋体"/>
          <w:color w:val="000000"/>
          <w:sz w:val="24"/>
          <w:highlight w:val="none"/>
        </w:rPr>
        <w:t xml:space="preserve">项目（</w:t>
      </w:r>
      <w:r>
        <w:rPr>
          <w:rFonts w:hint="eastAsia" w:ascii="宋体" w:hAnsi="宋体"/>
          <w:color w:val="000000"/>
          <w:sz w:val="24"/>
          <w:highlight w:val="none"/>
        </w:rPr>
        <w:t xml:space="preserve">项目</w:t>
      </w:r>
      <w:r>
        <w:rPr>
          <w:rFonts w:ascii="宋体" w:hAnsi="宋体"/>
          <w:color w:val="000000"/>
          <w:sz w:val="24"/>
          <w:highlight w:val="none"/>
        </w:rPr>
        <w:t xml:space="preserve">编号：</w:t>
      </w:r>
      <w:r>
        <w:rPr>
          <w:rFonts w:hint="eastAsia" w:ascii="宋体" w:hAnsi="宋体"/>
          <w:color w:val="000000"/>
          <w:sz w:val="24"/>
          <w:highlight w:val="none"/>
          <w:u w:val="single"/>
        </w:rPr>
        <w:t xml:space="preserve">   </w:t>
      </w:r>
      <w:r>
        <w:rPr>
          <w:rFonts w:ascii="宋体" w:hAnsi="宋体"/>
          <w:color w:val="000000"/>
          <w:sz w:val="24"/>
          <w:highlight w:val="none"/>
        </w:rPr>
        <w:t xml:space="preserve">）招标的结果，签订本合同。</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一、采购标的</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1.1 项目内容：</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1.2 规格型号：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1.3 服务要求：</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1.4 补充条款：</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二、合同金额</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2.1 本合同金额为（大写）：_________________元整（</w:t>
      </w:r>
      <w:r>
        <w:rPr>
          <w:rFonts w:hint="eastAsia" w:ascii="宋体" w:hAnsi="宋体"/>
          <w:color w:val="000000"/>
          <w:sz w:val="24"/>
          <w:highlight w:val="none"/>
        </w:rPr>
        <w:t xml:space="preserve">¥</w:t>
      </w:r>
      <w:r>
        <w:rPr>
          <w:rFonts w:ascii="宋体" w:hAnsi="宋体"/>
          <w:color w:val="000000"/>
          <w:sz w:val="24"/>
          <w:highlight w:val="none"/>
        </w:rPr>
        <w:t xml:space="preserve">__________）人民币。</w:t>
      </w:r>
      <w:r/>
    </w:p>
    <w:p>
      <w:pPr>
        <w:ind w:firstLine="480"/>
        <w:jc w:val="left"/>
        <w:spacing w:line="560" w:lineRule="exact"/>
        <w:rPr>
          <w:rFonts w:ascii="宋体" w:hAnsi="宋体"/>
          <w:sz w:val="24"/>
          <w:highlight w:val="none"/>
        </w:rPr>
      </w:pPr>
      <w:r>
        <w:rPr>
          <w:rFonts w:ascii="宋体" w:hAnsi="宋体"/>
          <w:sz w:val="24"/>
          <w:highlight w:val="none"/>
        </w:rPr>
        <w:t xml:space="preserve">本合同价款包含所有乙方提供合同约定产品和</w:t>
      </w:r>
      <w:r>
        <w:rPr>
          <w:rFonts w:hint="eastAsia" w:ascii="宋体" w:hAnsi="宋体"/>
          <w:sz w:val="24"/>
          <w:highlight w:val="none"/>
        </w:rPr>
        <w:t xml:space="preserve">安装等</w:t>
      </w:r>
      <w:r>
        <w:rPr>
          <w:rFonts w:ascii="宋体" w:hAnsi="宋体"/>
          <w:sz w:val="24"/>
          <w:highlight w:val="none"/>
        </w:rPr>
        <w:t xml:space="preserve">服务的报酬及乙方提供合同中产品和服务所支出的必要费用，甲方在上述合同价款之外不再向乙方支付其他任何费用。</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三、技术资料</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3.1</w:t>
      </w:r>
      <w:r>
        <w:rPr>
          <w:rFonts w:hint="eastAsia" w:ascii="宋体" w:hAnsi="宋体"/>
          <w:color w:val="000000"/>
          <w:sz w:val="24"/>
          <w:highlight w:val="none"/>
        </w:rPr>
        <w:t xml:space="preserve"> </w:t>
      </w:r>
      <w:r>
        <w:rPr>
          <w:rFonts w:ascii="宋体" w:hAnsi="宋体"/>
          <w:color w:val="000000"/>
          <w:sz w:val="24"/>
          <w:highlight w:val="none"/>
        </w:rPr>
        <w:t xml:space="preserve">乙方应按招标文件规定的时间向甲方提供有关技术资料。</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四、知识产权</w:t>
      </w:r>
      <w:r/>
    </w:p>
    <w:p>
      <w:pPr>
        <w:ind w:firstLine="480"/>
        <w:jc w:val="left"/>
        <w:spacing w:line="560" w:lineRule="exact"/>
        <w:rPr>
          <w:rFonts w:ascii="宋体" w:hAnsi="宋体"/>
          <w:color w:val="000000"/>
          <w:sz w:val="24"/>
          <w:highlight w:val="none"/>
        </w:rPr>
      </w:pPr>
      <w:r>
        <w:rPr>
          <w:rFonts w:hint="eastAsia" w:ascii="Calibri" w:hAnsi="宋体"/>
          <w:color w:val="000000"/>
          <w:sz w:val="24"/>
          <w:highlight w:val="none"/>
        </w:rPr>
        <w:t xml:space="preserve">4.1 </w:t>
      </w:r>
      <w:r>
        <w:rPr>
          <w:rFonts w:ascii="Calibri" w:hAnsi="宋体"/>
          <w:color w:val="000000"/>
          <w:sz w:val="24"/>
          <w:highlight w:val="none"/>
        </w:rPr>
        <w:t xml:space="preserve">乙</w:t>
      </w:r>
      <w:r>
        <w:rPr>
          <w:rFonts w:hint="eastAsia" w:ascii="宋体" w:hAnsi="宋体"/>
          <w:color w:val="000000"/>
          <w:sz w:val="24"/>
          <w:highlight w:val="none"/>
        </w:rPr>
        <w:t xml:space="preserve">方应保证甲方在使用、接受本合同</w:t>
      </w:r>
      <w:r>
        <w:rPr>
          <w:rFonts w:ascii="Calibri" w:hAnsi="宋体"/>
          <w:color w:val="000000"/>
          <w:sz w:val="24"/>
          <w:highlight w:val="none"/>
        </w:rPr>
        <w:t xml:space="preserve">中产品和服务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甲方有权直接解除与乙方的合同，并要求乙方退还甲方已经支付的全部费用，同时乙方还应当向甲方赔偿甲方因此遭受的全部损失。</w:t>
      </w:r>
      <w:r/>
    </w:p>
    <w:p>
      <w:pPr>
        <w:ind w:firstLine="482"/>
        <w:jc w:val="left"/>
        <w:spacing w:line="560" w:lineRule="exact"/>
        <w:rPr>
          <w:rFonts w:ascii="宋体" w:hAnsi="宋体"/>
          <w:color w:val="000000"/>
          <w:sz w:val="24"/>
          <w:highlight w:val="none"/>
          <w:u w:val="single"/>
        </w:rPr>
      </w:pPr>
      <w:r>
        <w:rPr>
          <w:rFonts w:ascii="宋体" w:hAnsi="宋体"/>
          <w:b/>
          <w:color w:val="000000"/>
          <w:sz w:val="24"/>
          <w:highlight w:val="none"/>
        </w:rPr>
        <w:t xml:space="preserve">五、产权担保</w:t>
      </w:r>
      <w:r/>
    </w:p>
    <w:p>
      <w:pPr>
        <w:ind w:firstLine="480"/>
        <w:jc w:val="left"/>
        <w:spacing w:line="560" w:lineRule="exact"/>
        <w:rPr>
          <w:rFonts w:ascii="宋体" w:hAnsi="宋体"/>
          <w:color w:val="000000"/>
          <w:sz w:val="24"/>
          <w:highlight w:val="none"/>
          <w:u w:val="single"/>
        </w:rPr>
      </w:pPr>
      <w:r>
        <w:rPr>
          <w:rFonts w:hint="eastAsia" w:ascii="宋体" w:hAnsi="宋体"/>
          <w:color w:val="000000"/>
          <w:sz w:val="24"/>
          <w:highlight w:val="none"/>
        </w:rPr>
        <w:t xml:space="preserve">5.1 </w:t>
      </w:r>
      <w:r>
        <w:rPr>
          <w:rFonts w:ascii="宋体" w:hAnsi="宋体"/>
          <w:color w:val="000000"/>
          <w:sz w:val="24"/>
          <w:highlight w:val="none"/>
        </w:rPr>
        <w:t xml:space="preserve">乙方保证所交付标的的所有权完全属于乙方且无任何抵押、查封等产权瑕疵。</w:t>
      </w:r>
      <w:r>
        <w:rPr>
          <w:rFonts w:hint="eastAsia" w:ascii="宋体" w:hAnsi="宋体"/>
          <w:color w:val="000000"/>
          <w:sz w:val="24"/>
          <w:highlight w:val="none"/>
        </w:rPr>
        <w:t xml:space="preserve">如乙方交付的标的物所有权存在瑕疵或侵权，甲方有权直接解除与乙方的合同，并要求乙方退还甲方已经支付的全部费用，同时乙方还应当向甲方赔偿甲方因此遭受的全部损失。</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六、履约保证金</w:t>
      </w:r>
      <w:r/>
    </w:p>
    <w:p>
      <w:pPr>
        <w:ind w:firstLine="480"/>
        <w:jc w:val="left"/>
        <w:spacing w:line="560" w:lineRule="exact"/>
        <w:rPr>
          <w:rFonts w:ascii="宋体" w:hAnsi="宋体"/>
          <w:color w:val="ff0000"/>
          <w:sz w:val="24"/>
          <w:highlight w:val="none"/>
        </w:rPr>
      </w:pPr>
      <w:r>
        <w:rPr>
          <w:rFonts w:hint="eastAsia" w:ascii="宋体" w:hAnsi="宋体"/>
          <w:color w:val="000000"/>
          <w:sz w:val="24"/>
          <w:highlight w:val="none"/>
        </w:rPr>
        <w:t xml:space="preserve">6.1本项目不收取履约保</w:t>
      </w:r>
      <w:r>
        <w:rPr>
          <w:rFonts w:hint="eastAsia" w:ascii="Arial" w:hAnsi="Arial" w:eastAsia="Arial"/>
          <w:sz w:val="24"/>
          <w:szCs w:val="24"/>
          <w:highlight w:val="none"/>
        </w:rPr>
        <w:t xml:space="preserve">证金</w:t>
      </w:r>
      <w:r>
        <w:rPr>
          <w:rFonts w:hint="eastAsia" w:ascii="宋体" w:hAnsi="宋体"/>
          <w:color w:val="000000"/>
          <w:sz w:val="24"/>
          <w:highlight w:val="none"/>
        </w:rPr>
        <w:t xml:space="preserve">。</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七、转包或分包</w:t>
      </w:r>
      <w:r/>
    </w:p>
    <w:p>
      <w:pPr>
        <w:ind w:firstLine="480"/>
        <w:jc w:val="left"/>
        <w:spacing w:line="560" w:lineRule="exact"/>
        <w:rPr>
          <w:rFonts w:ascii="宋体" w:hAnsi="宋体" w:eastAsia="仿宋_GB2312"/>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本合同范围内产品或服务，应由乙方直接供应，不得转让他人供应或部分分包给他人供应；</w:t>
      </w:r>
      <w:r/>
    </w:p>
    <w:p>
      <w:pPr>
        <w:ind w:firstLine="480"/>
        <w:jc w:val="left"/>
        <w:spacing w:line="560" w:lineRule="exact"/>
        <w:rPr>
          <w:rFonts w:ascii="宋体" w:hAnsi="宋体" w:eastAsia="仿宋_GB2312"/>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如有转让和未经甲方同意的分包行为，甲方有权给予终止合同。 </w:t>
      </w:r>
      <w:r/>
    </w:p>
    <w:p>
      <w:pPr>
        <w:ind w:firstLine="482"/>
        <w:jc w:val="left"/>
        <w:spacing w:line="560" w:lineRule="exact"/>
        <w:rPr>
          <w:rFonts w:ascii="宋体" w:hAnsi="宋体"/>
          <w:color w:val="000000"/>
          <w:sz w:val="24"/>
          <w:highlight w:val="none"/>
        </w:rPr>
      </w:pPr>
      <w:r>
        <w:rPr>
          <w:rFonts w:ascii="宋体" w:hAnsi="宋体"/>
          <w:b/>
          <w:color w:val="000000"/>
          <w:sz w:val="24"/>
          <w:highlight w:val="none"/>
        </w:rPr>
        <w:t xml:space="preserve">八、</w:t>
      </w:r>
      <w:r>
        <w:rPr>
          <w:rFonts w:hint="eastAsia" w:ascii="宋体" w:hAnsi="宋体"/>
          <w:b/>
          <w:color w:val="000000"/>
          <w:sz w:val="24"/>
          <w:highlight w:val="none"/>
        </w:rPr>
        <w:t xml:space="preserve">质保期</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8.1质保期：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w:t>
      </w:r>
      <w:r/>
    </w:p>
    <w:p>
      <w:pPr>
        <w:ind w:firstLine="482"/>
        <w:jc w:val="left"/>
        <w:spacing w:line="560" w:lineRule="exact"/>
        <w:rPr>
          <w:rFonts w:ascii="Calibri" w:hAnsi="Calibri"/>
          <w:b/>
          <w:color w:val="000000"/>
          <w:sz w:val="24"/>
          <w:highlight w:val="none"/>
        </w:rPr>
      </w:pPr>
      <w:r>
        <w:rPr>
          <w:rFonts w:ascii="Calibri" w:hAnsi="宋体"/>
          <w:b/>
          <w:color w:val="000000"/>
          <w:sz w:val="24"/>
          <w:highlight w:val="none"/>
        </w:rPr>
        <w:t xml:space="preserve">九、交付期、交付方式及交付地点</w:t>
      </w:r>
      <w:r/>
    </w:p>
    <w:p>
      <w:pPr>
        <w:ind w:firstLine="480"/>
        <w:jc w:val="left"/>
        <w:spacing w:line="560" w:lineRule="exact"/>
        <w:rPr>
          <w:rFonts w:ascii="宋体" w:hAnsi="宋体"/>
          <w:color w:val="000000"/>
          <w:sz w:val="24"/>
          <w:highlight w:val="none"/>
        </w:rPr>
      </w:pPr>
      <w:r>
        <w:rPr>
          <w:rFonts w:ascii="宋体" w:hAnsi="宋体"/>
          <w:bCs/>
          <w:color w:val="000000"/>
          <w:sz w:val="24"/>
          <w:highlight w:val="none"/>
        </w:rPr>
        <w:t xml:space="preserve">9.1</w:t>
      </w:r>
      <w:r>
        <w:rPr>
          <w:rFonts w:hint="eastAsia" w:ascii="宋体" w:hAnsi="宋体"/>
          <w:bCs/>
          <w:color w:val="000000"/>
          <w:sz w:val="24"/>
          <w:highlight w:val="none"/>
        </w:rPr>
        <w:t xml:space="preserve"> </w:t>
      </w:r>
      <w:r>
        <w:rPr>
          <w:rFonts w:ascii="宋体" w:hAnsi="宋体"/>
          <w:bCs/>
          <w:color w:val="000000"/>
          <w:sz w:val="24"/>
          <w:highlight w:val="none"/>
        </w:rPr>
        <w:t xml:space="preserve">交 付 期：</w:t>
      </w:r>
      <w:r>
        <w:rPr>
          <w:rFonts w:ascii="宋体" w:hAnsi="宋体"/>
          <w:color w:val="000000"/>
          <w:sz w:val="24"/>
          <w:highlight w:val="none"/>
        </w:rPr>
        <w:t xml:space="preserve">_________。</w:t>
      </w:r>
      <w:r/>
    </w:p>
    <w:p>
      <w:pPr>
        <w:ind w:firstLine="480"/>
        <w:jc w:val="left"/>
        <w:spacing w:line="560" w:lineRule="exact"/>
        <w:rPr>
          <w:rFonts w:ascii="宋体" w:hAnsi="宋体"/>
          <w:bCs/>
          <w:color w:val="000000"/>
          <w:sz w:val="24"/>
          <w:highlight w:val="none"/>
        </w:rPr>
      </w:pPr>
      <w:r>
        <w:rPr>
          <w:rFonts w:ascii="宋体" w:hAnsi="宋体"/>
          <w:bCs/>
          <w:color w:val="000000"/>
          <w:sz w:val="24"/>
          <w:highlight w:val="none"/>
        </w:rPr>
        <w:t xml:space="preserve">9.2</w:t>
      </w:r>
      <w:r>
        <w:rPr>
          <w:rFonts w:hint="eastAsia" w:ascii="宋体" w:hAnsi="宋体"/>
          <w:bCs/>
          <w:color w:val="000000"/>
          <w:sz w:val="24"/>
          <w:highlight w:val="none"/>
        </w:rPr>
        <w:t xml:space="preserve"> </w:t>
      </w:r>
      <w:r>
        <w:rPr>
          <w:rFonts w:ascii="宋体" w:hAnsi="宋体"/>
          <w:bCs/>
          <w:color w:val="000000"/>
          <w:sz w:val="24"/>
          <w:highlight w:val="none"/>
        </w:rPr>
        <w:t xml:space="preserve">交付方式：</w:t>
      </w:r>
      <w:r>
        <w:rPr>
          <w:rFonts w:ascii="宋体" w:hAnsi="宋体"/>
          <w:color w:val="000000"/>
          <w:sz w:val="24"/>
          <w:highlight w:val="none"/>
        </w:rPr>
        <w:t xml:space="preserve">_________。</w:t>
      </w:r>
      <w:r/>
    </w:p>
    <w:p>
      <w:pPr>
        <w:ind w:firstLine="480"/>
        <w:jc w:val="left"/>
        <w:spacing w:line="560" w:lineRule="exact"/>
        <w:rPr>
          <w:rFonts w:ascii="宋体" w:hAnsi="宋体"/>
          <w:b/>
          <w:color w:val="000000"/>
          <w:sz w:val="24"/>
          <w:highlight w:val="none"/>
        </w:rPr>
      </w:pPr>
      <w:r>
        <w:rPr>
          <w:rFonts w:ascii="宋体" w:hAnsi="宋体"/>
          <w:bCs/>
          <w:color w:val="000000"/>
          <w:sz w:val="24"/>
          <w:highlight w:val="none"/>
        </w:rPr>
        <w:t xml:space="preserve">9.3</w:t>
      </w:r>
      <w:r>
        <w:rPr>
          <w:rFonts w:hint="eastAsia" w:ascii="宋体" w:hAnsi="宋体"/>
          <w:bCs/>
          <w:color w:val="000000"/>
          <w:sz w:val="24"/>
          <w:highlight w:val="none"/>
        </w:rPr>
        <w:t xml:space="preserve"> </w:t>
      </w:r>
      <w:r>
        <w:rPr>
          <w:rFonts w:ascii="宋体" w:hAnsi="宋体"/>
          <w:bCs/>
          <w:color w:val="000000"/>
          <w:sz w:val="24"/>
          <w:highlight w:val="none"/>
        </w:rPr>
        <w:t xml:space="preserve">交付地点：</w:t>
      </w:r>
      <w:r>
        <w:rPr>
          <w:rFonts w:ascii="宋体" w:hAnsi="宋体"/>
          <w:color w:val="000000"/>
          <w:sz w:val="24"/>
          <w:highlight w:val="none"/>
        </w:rPr>
        <w:t xml:space="preserve">_________。</w:t>
      </w:r>
      <w:r/>
    </w:p>
    <w:p>
      <w:pPr>
        <w:ind w:firstLine="482"/>
        <w:jc w:val="left"/>
        <w:spacing w:line="560" w:lineRule="exact"/>
        <w:rPr>
          <w:rFonts w:ascii="Calibri" w:hAnsi="Calibri"/>
          <w:b/>
          <w:color w:val="000000"/>
          <w:sz w:val="24"/>
          <w:highlight w:val="none"/>
        </w:rPr>
      </w:pPr>
      <w:r>
        <w:rPr>
          <w:rFonts w:ascii="Calibri" w:hAnsi="宋体"/>
          <w:b/>
          <w:color w:val="000000"/>
          <w:sz w:val="24"/>
          <w:highlight w:val="none"/>
        </w:rPr>
        <w:t xml:space="preserve">十、合同款支付</w:t>
      </w:r>
      <w:r/>
    </w:p>
    <w:p>
      <w:pPr>
        <w:ind w:firstLine="480"/>
        <w:jc w:val="left"/>
        <w:spacing w:line="560" w:lineRule="exact"/>
        <w:rPr>
          <w:rFonts w:ascii="Calibri" w:hAnsi="宋体"/>
          <w:bCs/>
          <w:sz w:val="24"/>
          <w:highlight w:val="none"/>
        </w:rPr>
      </w:pPr>
      <w:r>
        <w:rPr>
          <w:rFonts w:ascii="宋体" w:hAnsi="宋体"/>
          <w:bCs/>
          <w:sz w:val="24"/>
          <w:highlight w:val="none"/>
        </w:rPr>
        <w:t xml:space="preserve">10.1</w:t>
      </w:r>
      <w:r>
        <w:rPr>
          <w:rFonts w:hint="eastAsia" w:ascii="宋体" w:hAnsi="宋体"/>
          <w:bCs/>
          <w:sz w:val="24"/>
          <w:highlight w:val="none"/>
        </w:rPr>
        <w:t xml:space="preserve"> </w:t>
      </w:r>
      <w:r>
        <w:rPr>
          <w:rFonts w:ascii="Calibri" w:hAnsi="宋体"/>
          <w:bCs/>
          <w:sz w:val="24"/>
          <w:highlight w:val="none"/>
        </w:rPr>
        <w:t xml:space="preserve">付款方式：</w:t>
      </w:r>
      <w:r>
        <w:rPr>
          <w:rFonts w:ascii="宋体" w:hAnsi="宋体"/>
          <w:sz w:val="24"/>
          <w:highlight w:val="none"/>
        </w:rPr>
        <w:t xml:space="preserve">_________。</w:t>
      </w:r>
      <w:r/>
    </w:p>
    <w:p>
      <w:pPr>
        <w:ind w:firstLine="480"/>
        <w:jc w:val="left"/>
        <w:spacing w:line="560" w:lineRule="exact"/>
        <w:rPr>
          <w:rFonts w:ascii="Calibri" w:hAnsi="宋体"/>
          <w:bCs/>
          <w:sz w:val="24"/>
          <w:highlight w:val="none"/>
        </w:rPr>
      </w:pPr>
      <w:r>
        <w:rPr>
          <w:rFonts w:ascii="Calibri" w:hAnsi="宋体"/>
          <w:bCs/>
          <w:sz w:val="24"/>
          <w:highlight w:val="none"/>
        </w:rPr>
        <w:t xml:space="preserve">每次付款前</w:t>
      </w:r>
      <w:r>
        <w:rPr>
          <w:rFonts w:hint="eastAsia" w:ascii="Calibri" w:hAnsi="宋体"/>
          <w:bCs/>
          <w:sz w:val="24"/>
          <w:highlight w:val="none"/>
        </w:rPr>
        <w:t xml:space="preserve">乙方</w:t>
      </w:r>
      <w:r>
        <w:rPr>
          <w:rFonts w:ascii="Calibri" w:hAnsi="宋体"/>
          <w:bCs/>
          <w:sz w:val="24"/>
          <w:highlight w:val="none"/>
        </w:rPr>
        <w:t xml:space="preserve">需提供等额增值税发票，否则延迟付款的责任由咨询人自行承担。</w:t>
      </w:r>
      <w:r/>
    </w:p>
    <w:p>
      <w:pPr>
        <w:ind w:firstLine="480"/>
        <w:jc w:val="left"/>
        <w:spacing w:line="560" w:lineRule="exact"/>
        <w:rPr>
          <w:rFonts w:ascii="Calibri" w:hAnsi="Calibri"/>
          <w:bCs/>
          <w:color w:val="000000"/>
          <w:sz w:val="24"/>
          <w:highlight w:val="none"/>
        </w:rPr>
      </w:pPr>
      <w:r>
        <w:rPr>
          <w:rFonts w:ascii="宋体" w:hAnsi="宋体"/>
          <w:bCs/>
          <w:color w:val="000000"/>
          <w:sz w:val="24"/>
          <w:highlight w:val="none"/>
        </w:rPr>
        <w:t xml:space="preserve">10.2</w:t>
      </w:r>
      <w:r>
        <w:rPr>
          <w:rFonts w:hint="eastAsia" w:ascii="宋体" w:hAnsi="宋体"/>
          <w:bCs/>
          <w:color w:val="000000"/>
          <w:sz w:val="24"/>
          <w:highlight w:val="none"/>
        </w:rPr>
        <w:t xml:space="preserve"> </w:t>
      </w:r>
      <w:r>
        <w:rPr>
          <w:rFonts w:ascii="Calibri" w:hAnsi="宋体"/>
          <w:color w:val="000000"/>
          <w:sz w:val="24"/>
          <w:highlight w:val="none"/>
        </w:rPr>
        <w:t xml:space="preserve">当采购数量与实际使用数量不一致时，乙方根据实际使用量提供</w:t>
      </w:r>
      <w:r>
        <w:rPr>
          <w:rFonts w:ascii="宋体" w:hAnsi="宋体"/>
          <w:color w:val="000000"/>
          <w:sz w:val="24"/>
          <w:highlight w:val="none"/>
        </w:rPr>
        <w:t xml:space="preserve">产品和服务</w:t>
      </w:r>
      <w:r>
        <w:rPr>
          <w:rFonts w:ascii="Calibri" w:hAnsi="宋体"/>
          <w:color w:val="000000"/>
          <w:sz w:val="24"/>
          <w:highlight w:val="none"/>
        </w:rPr>
        <w:t xml:space="preserve">，合同的最终结算金额按实际使用量乘以中标单价进行计算。</w:t>
      </w:r>
      <w:r/>
    </w:p>
    <w:p>
      <w:pPr>
        <w:ind w:firstLine="482"/>
        <w:jc w:val="left"/>
        <w:spacing w:line="560" w:lineRule="exact"/>
        <w:rPr>
          <w:rFonts w:ascii="Calibri" w:hAnsi="Calibri"/>
          <w:b/>
          <w:color w:val="000000"/>
          <w:sz w:val="24"/>
          <w:highlight w:val="none"/>
        </w:rPr>
      </w:pPr>
      <w:r>
        <w:rPr>
          <w:rFonts w:ascii="Calibri" w:hAnsi="宋体"/>
          <w:b/>
          <w:color w:val="000000"/>
          <w:sz w:val="24"/>
          <w:highlight w:val="none"/>
        </w:rPr>
        <w:t xml:space="preserve">十一</w:t>
      </w:r>
      <w:r>
        <w:rPr>
          <w:rFonts w:hint="eastAsia" w:ascii="Calibri" w:hAnsi="Calibri"/>
          <w:b/>
          <w:color w:val="000000"/>
          <w:sz w:val="24"/>
          <w:highlight w:val="none"/>
        </w:rPr>
        <w:t xml:space="preserve">、</w:t>
      </w:r>
      <w:r>
        <w:rPr>
          <w:rFonts w:ascii="Calibri" w:hAnsi="宋体"/>
          <w:b/>
          <w:color w:val="000000"/>
          <w:sz w:val="24"/>
          <w:highlight w:val="none"/>
        </w:rPr>
        <w:t xml:space="preserve">税费</w:t>
      </w:r>
      <w:r/>
    </w:p>
    <w:p>
      <w:pPr>
        <w:ind w:firstLine="480"/>
        <w:jc w:val="left"/>
        <w:spacing w:line="560" w:lineRule="exact"/>
        <w:rPr>
          <w:rFonts w:ascii="宋体" w:hAnsi="宋体" w:eastAsia="仿宋_GB2312"/>
          <w:color w:val="000000"/>
          <w:sz w:val="24"/>
          <w:highlight w:val="none"/>
        </w:rPr>
      </w:pPr>
      <w:r>
        <w:rPr>
          <w:rFonts w:hint="eastAsia" w:ascii="宋体" w:hAnsi="宋体"/>
          <w:color w:val="000000"/>
          <w:sz w:val="24"/>
          <w:highlight w:val="none"/>
        </w:rPr>
        <w:t xml:space="preserve">11.1 本合同执行中相关的一切税费均由乙方负担。</w:t>
      </w:r>
      <w:r/>
    </w:p>
    <w:p>
      <w:pPr>
        <w:ind w:firstLine="482"/>
        <w:jc w:val="left"/>
        <w:spacing w:line="560" w:lineRule="exact"/>
        <w:rPr>
          <w:rFonts w:ascii="宋体" w:hAnsi="宋体"/>
          <w:color w:val="000000"/>
          <w:sz w:val="24"/>
          <w:highlight w:val="none"/>
        </w:rPr>
      </w:pPr>
      <w:r>
        <w:rPr>
          <w:rFonts w:ascii="宋体" w:hAnsi="宋体"/>
          <w:b/>
          <w:color w:val="000000"/>
          <w:sz w:val="24"/>
          <w:highlight w:val="none"/>
        </w:rPr>
        <w:t xml:space="preserve">十二、质量保证及售后服务</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 </w:t>
      </w:r>
      <w:r>
        <w:rPr>
          <w:rFonts w:ascii="宋体" w:hAnsi="宋体"/>
          <w:color w:val="000000"/>
          <w:sz w:val="24"/>
          <w:highlight w:val="none"/>
        </w:rPr>
        <w:t xml:space="preserve">乙方应按招标文件规定和响应文件承诺的性能、技术要求、质量标准向甲方提供产品或服务。</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 </w:t>
      </w:r>
      <w:r>
        <w:rPr>
          <w:rFonts w:ascii="宋体" w:hAnsi="宋体"/>
          <w:color w:val="000000"/>
          <w:sz w:val="24"/>
          <w:highlight w:val="none"/>
        </w:rPr>
        <w:t xml:space="preserve">乙方提供的产品或服务在质保期内因其本身出现质量问题，根据实际情况，经双方协商，可按以下办法处理：</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（1）更换：由乙方承担所发生的全部费用。</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sz w:val="24"/>
          <w:highlight w:val="none"/>
        </w:rPr>
      </w:pPr>
      <w:r>
        <w:rPr>
          <w:rFonts w:ascii="宋体" w:hAnsi="宋体"/>
          <w:color w:val="000000"/>
          <w:sz w:val="24"/>
          <w:highlight w:val="none"/>
        </w:rPr>
        <w:t xml:space="preserve">12.3</w:t>
      </w:r>
      <w:r>
        <w:rPr>
          <w:rFonts w:hint="eastAsia" w:ascii="宋体" w:hAnsi="宋体"/>
          <w:color w:val="000000"/>
          <w:sz w:val="24"/>
          <w:highlight w:val="none"/>
        </w:rPr>
        <w:t xml:space="preserve"> </w:t>
      </w:r>
      <w:r>
        <w:rPr>
          <w:rFonts w:hint="eastAsia" w:ascii="宋体" w:hAnsi="宋体"/>
          <w:sz w:val="24"/>
          <w:highlight w:val="none"/>
        </w:rPr>
        <w:t xml:space="preserve">乙方提供全天候7*24小时响应维护，2小时内响应，如在使用过程中发生质量问题或出现损坏，要及时更换并提供备件，最短的时间保证产品正常使用。质保期满后，维修仅收取成本费。</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12.4</w:t>
      </w:r>
      <w:r>
        <w:rPr>
          <w:rFonts w:hint="eastAsia" w:ascii="宋体" w:hAnsi="宋体"/>
          <w:color w:val="000000"/>
          <w:sz w:val="24"/>
          <w:highlight w:val="none"/>
        </w:rPr>
        <w:t xml:space="preserve"> </w:t>
      </w:r>
      <w:r>
        <w:rPr>
          <w:rFonts w:ascii="宋体" w:hAnsi="宋体"/>
          <w:color w:val="000000"/>
          <w:sz w:val="24"/>
          <w:highlight w:val="none"/>
        </w:rPr>
        <w:t xml:space="preserve">在质保期内，乙方应对产品或服务出现的质量及安全问题负责处理解决并承担一切费用。</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十三、验收</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13.1</w:t>
      </w:r>
      <w:r>
        <w:rPr>
          <w:rFonts w:hint="eastAsia" w:ascii="宋体" w:hAnsi="宋体"/>
          <w:color w:val="000000"/>
          <w:sz w:val="24"/>
          <w:highlight w:val="none"/>
        </w:rPr>
        <w:t xml:space="preserve"> </w:t>
      </w:r>
      <w:r>
        <w:rPr>
          <w:rFonts w:ascii="宋体" w:hAnsi="宋体"/>
          <w:color w:val="000000"/>
          <w:sz w:val="24"/>
          <w:highlight w:val="none"/>
        </w:rPr>
        <w:t xml:space="preserve">甲方对乙方提交的产品或服务依据招标文件上的项目需求要求、乙方响应文件及国家有关质量标准进行验收。</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13.2</w:t>
      </w:r>
      <w:r>
        <w:rPr>
          <w:rFonts w:hint="eastAsia" w:ascii="宋体" w:hAnsi="宋体"/>
          <w:color w:val="000000"/>
          <w:sz w:val="24"/>
          <w:highlight w:val="none"/>
        </w:rPr>
        <w:t xml:space="preserve"> </w:t>
      </w:r>
      <w:r>
        <w:rPr>
          <w:rFonts w:ascii="宋体" w:hAnsi="宋体"/>
          <w:color w:val="000000"/>
          <w:sz w:val="24"/>
          <w:highlight w:val="none"/>
        </w:rPr>
        <w:t xml:space="preserve">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13.3</w:t>
      </w:r>
      <w:r>
        <w:rPr>
          <w:rFonts w:hint="eastAsia" w:ascii="宋体" w:hAnsi="宋体"/>
          <w:color w:val="000000"/>
          <w:sz w:val="24"/>
          <w:highlight w:val="none"/>
        </w:rPr>
        <w:t xml:space="preserve"> </w:t>
      </w:r>
      <w:r>
        <w:rPr>
          <w:rFonts w:ascii="宋体" w:hAnsi="宋体"/>
          <w:color w:val="000000"/>
          <w:sz w:val="24"/>
          <w:highlight w:val="none"/>
        </w:rPr>
        <w:t xml:space="preserve">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13.4</w:t>
      </w:r>
      <w:r>
        <w:rPr>
          <w:rFonts w:hint="eastAsia" w:ascii="宋体" w:hAnsi="宋体"/>
          <w:color w:val="000000"/>
          <w:sz w:val="24"/>
          <w:highlight w:val="none"/>
        </w:rPr>
        <w:t xml:space="preserve"> </w:t>
      </w:r>
      <w:r>
        <w:rPr>
          <w:rFonts w:ascii="宋体" w:hAnsi="宋体"/>
          <w:color w:val="000000"/>
          <w:sz w:val="24"/>
          <w:highlight w:val="none"/>
        </w:rPr>
        <w:t xml:space="preserve">对技术复杂的产品或服务，甲方可请国家认可的专业检测机构参与初步验收及最终验收，并由其出具质量检测报告。</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13.5</w:t>
      </w:r>
      <w:r>
        <w:rPr>
          <w:rFonts w:hint="eastAsia" w:ascii="宋体" w:hAnsi="宋体"/>
          <w:color w:val="000000"/>
          <w:sz w:val="24"/>
          <w:highlight w:val="none"/>
        </w:rPr>
        <w:t xml:space="preserve"> </w:t>
      </w:r>
      <w:r>
        <w:rPr>
          <w:rFonts w:ascii="宋体" w:hAnsi="宋体"/>
          <w:color w:val="000000"/>
          <w:sz w:val="24"/>
          <w:highlight w:val="none"/>
        </w:rPr>
        <w:t xml:space="preserve">验收时乙方必须在现场，验收完毕后作出验收结果报告；招标文件规定以外的验收费用由甲乙双方协商解决。</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十四、合同内容的交付</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14.1</w:t>
      </w:r>
      <w:r>
        <w:rPr>
          <w:rFonts w:hint="eastAsia" w:ascii="宋体" w:hAnsi="宋体"/>
          <w:color w:val="000000"/>
          <w:sz w:val="24"/>
          <w:highlight w:val="none"/>
        </w:rPr>
        <w:t xml:space="preserve"> </w:t>
      </w:r>
      <w:r>
        <w:rPr>
          <w:rFonts w:ascii="宋体" w:hAnsi="宋体"/>
          <w:color w:val="000000"/>
          <w:sz w:val="24"/>
          <w:highlight w:val="none"/>
        </w:rPr>
        <w:t xml:space="preserve">乙方应保证合同标的安全运达甲方指定地点。</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14.2 使用说明书、质量检验证明书一并提交甲方。</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14.3 乙方在合同标的交付甲方48小时前通知甲方准备接收。</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14.4 合同标的在交付甲方前发生的风险均由乙方负责。</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十五、违约责任</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15.1</w:t>
      </w:r>
      <w:r>
        <w:rPr>
          <w:rFonts w:hint="eastAsia" w:ascii="宋体" w:hAnsi="宋体"/>
          <w:color w:val="000000"/>
          <w:sz w:val="24"/>
          <w:highlight w:val="none"/>
        </w:rPr>
        <w:t xml:space="preserve"> </w:t>
      </w:r>
      <w:r>
        <w:rPr>
          <w:rFonts w:ascii="宋体" w:hAnsi="宋体"/>
          <w:color w:val="000000"/>
          <w:sz w:val="24"/>
          <w:highlight w:val="none"/>
        </w:rPr>
        <w:t xml:space="preserve">甲方无正当理由拒收的，甲方向乙方偿付拒收货款总值的百分之</w:t>
      </w:r>
      <w:r>
        <w:rPr>
          <w:rFonts w:hint="eastAsia" w:ascii="宋体" w:hAnsi="宋体"/>
          <w:color w:val="000000"/>
          <w:sz w:val="24"/>
          <w:highlight w:val="none"/>
        </w:rPr>
        <w:t xml:space="preserve">一</w:t>
      </w:r>
      <w:r>
        <w:rPr>
          <w:rFonts w:ascii="宋体" w:hAnsi="宋体"/>
          <w:color w:val="000000"/>
          <w:sz w:val="24"/>
          <w:highlight w:val="none"/>
        </w:rPr>
        <w:t xml:space="preserve">违约金。</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15.2 甲方无故逾期验收和办理合同款支付手续的,甲方应按逾期付款总额每日万分之</w:t>
      </w:r>
      <w:r>
        <w:rPr>
          <w:rFonts w:hint="eastAsia" w:ascii="宋体" w:hAnsi="宋体"/>
          <w:color w:val="000000"/>
          <w:sz w:val="24"/>
          <w:highlight w:val="none"/>
        </w:rPr>
        <w:t xml:space="preserve">一</w:t>
      </w:r>
      <w:r>
        <w:rPr>
          <w:rFonts w:ascii="宋体" w:hAnsi="宋体"/>
          <w:color w:val="000000"/>
          <w:sz w:val="24"/>
          <w:highlight w:val="none"/>
        </w:rPr>
        <w:t xml:space="preserve">向乙方支付违约金。</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15.3 乙方逾期交付合同标的的，乙方应按逾期交货总额</w:t>
      </w:r>
      <w:r>
        <w:rPr>
          <w:rFonts w:hint="eastAsia" w:ascii="宋体" w:hAnsi="宋体"/>
          <w:color w:val="000000"/>
          <w:sz w:val="24"/>
          <w:highlight w:val="none"/>
        </w:rPr>
        <w:t xml:space="preserve">每日万分之五</w:t>
      </w:r>
      <w:r>
        <w:rPr>
          <w:rFonts w:ascii="宋体" w:hAnsi="宋体"/>
          <w:color w:val="000000"/>
          <w:sz w:val="24"/>
          <w:highlight w:val="none"/>
        </w:rPr>
        <w:t xml:space="preserve">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十六、不可抗力事件处理</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16.2 不可抗力事件发生后，应立即通知对方，并寄送有关权威机构出具的证明。</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16.3</w:t>
      </w:r>
      <w:r>
        <w:rPr>
          <w:rFonts w:hint="eastAsia" w:ascii="宋体" w:hAnsi="宋体"/>
          <w:color w:val="000000"/>
          <w:sz w:val="24"/>
          <w:highlight w:val="none"/>
        </w:rPr>
        <w:t xml:space="preserve"> </w:t>
      </w:r>
      <w:r>
        <w:rPr>
          <w:rFonts w:ascii="宋体" w:hAnsi="宋体"/>
          <w:color w:val="000000"/>
          <w:sz w:val="24"/>
          <w:highlight w:val="none"/>
        </w:rPr>
        <w:t xml:space="preserve">不可抗力事件延续120天以上，双方应通过友好协商，确定是否继续履行合同。</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十七、争议解决</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17.1</w:t>
      </w:r>
      <w:r>
        <w:rPr>
          <w:rFonts w:hint="eastAsia" w:ascii="宋体" w:hAnsi="宋体"/>
          <w:color w:val="000000"/>
          <w:sz w:val="24"/>
          <w:highlight w:val="none"/>
        </w:rPr>
        <w:t xml:space="preserve"> 双方在执行合同中所发生的一切争议，应通过协商解决。如协商不成，按下列第</w:t>
      </w:r>
      <w:r>
        <w:rPr>
          <w:rFonts w:hint="eastAsia" w:ascii="宋体" w:hAnsi="宋体"/>
          <w:color w:val="000000"/>
          <w:sz w:val="24"/>
          <w:highlight w:val="none"/>
          <w:u w:val="single"/>
        </w:rPr>
        <w:t xml:space="preserve">（2）</w:t>
      </w:r>
      <w:r>
        <w:rPr>
          <w:rFonts w:hint="eastAsia" w:ascii="宋体" w:hAnsi="宋体"/>
          <w:color w:val="000000"/>
          <w:sz w:val="24"/>
          <w:highlight w:val="none"/>
        </w:rPr>
        <w:t xml:space="preserve">种方式解决：</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（1）向</w:t>
      </w:r>
      <w:r>
        <w:rPr>
          <w:rFonts w:hint="eastAsia" w:ascii="宋体" w:hAnsi="宋体"/>
          <w:color w:val="000000"/>
          <w:sz w:val="24"/>
          <w:highlight w:val="none"/>
          <w:u w:val="single"/>
        </w:rPr>
        <w:t xml:space="preserve">  灌南县  </w:t>
      </w:r>
      <w:r>
        <w:rPr>
          <w:rFonts w:hint="eastAsia" w:ascii="宋体" w:hAnsi="宋体"/>
          <w:color w:val="000000"/>
          <w:sz w:val="24"/>
          <w:highlight w:val="none"/>
        </w:rPr>
        <w:t xml:space="preserve">仲裁委员会申请仲裁。</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（2）向合同签订地法院起诉，合同签订地在此约定为连云港市灌南县。</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十八、合同生效及其它</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18.1</w:t>
      </w:r>
      <w:r>
        <w:rPr>
          <w:rFonts w:hint="eastAsia" w:ascii="宋体" w:hAnsi="宋体"/>
          <w:color w:val="000000"/>
          <w:sz w:val="24"/>
          <w:highlight w:val="none"/>
        </w:rPr>
        <w:t xml:space="preserve"> </w:t>
      </w:r>
      <w:r>
        <w:rPr>
          <w:rFonts w:ascii="宋体" w:hAnsi="宋体"/>
          <w:color w:val="000000"/>
          <w:sz w:val="24"/>
          <w:highlight w:val="none"/>
        </w:rPr>
        <w:t xml:space="preserve">合同经双方法定代表人或委托代理人签字并加盖单位公章后生效。</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18.2</w:t>
      </w:r>
      <w:r>
        <w:rPr>
          <w:rFonts w:hint="eastAsia" w:ascii="宋体" w:hAnsi="宋体"/>
          <w:color w:val="000000"/>
          <w:sz w:val="24"/>
          <w:highlight w:val="none"/>
        </w:rPr>
        <w:t xml:space="preserve"> </w:t>
      </w:r>
      <w:r>
        <w:rPr>
          <w:rFonts w:ascii="宋体" w:hAnsi="宋体"/>
          <w:color w:val="000000"/>
          <w:sz w:val="24"/>
          <w:highlight w:val="none"/>
        </w:rPr>
        <w:t xml:space="preserve">本合同未尽事宜，遵照《中华人民共和国民法典》有关条文执行。</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18.3</w:t>
      </w:r>
      <w:r>
        <w:rPr>
          <w:rFonts w:hint="eastAsia" w:ascii="宋体" w:hAnsi="宋体"/>
          <w:color w:val="000000"/>
          <w:sz w:val="24"/>
          <w:highlight w:val="none"/>
        </w:rPr>
        <w:t xml:space="preserve"> </w:t>
      </w:r>
      <w:r>
        <w:rPr>
          <w:rFonts w:ascii="宋体" w:hAnsi="宋体"/>
          <w:color w:val="000000"/>
          <w:sz w:val="24"/>
          <w:highlight w:val="none"/>
        </w:rPr>
        <w:t xml:space="preserve">本合同正本一式</w:t>
      </w:r>
      <w:r>
        <w:rPr>
          <w:rFonts w:hint="eastAsia" w:ascii="宋体" w:hAnsi="宋体"/>
          <w:color w:val="000000"/>
          <w:sz w:val="24"/>
          <w:highlight w:val="none"/>
        </w:rPr>
        <w:t xml:space="preserve">四</w:t>
      </w:r>
      <w:r>
        <w:rPr>
          <w:rFonts w:ascii="宋体" w:hAnsi="宋体"/>
          <w:color w:val="000000"/>
          <w:sz w:val="24"/>
          <w:highlight w:val="none"/>
        </w:rPr>
        <w:t xml:space="preserve">份，具有同等法律效力，甲方、乙方各执</w:t>
      </w:r>
      <w:r>
        <w:rPr>
          <w:rFonts w:hint="eastAsia" w:ascii="宋体" w:hAnsi="宋体"/>
          <w:color w:val="000000"/>
          <w:sz w:val="24"/>
          <w:highlight w:val="none"/>
        </w:rPr>
        <w:t xml:space="preserve">二</w:t>
      </w:r>
      <w:r>
        <w:rPr>
          <w:rFonts w:ascii="宋体" w:hAnsi="宋体"/>
          <w:color w:val="000000"/>
          <w:sz w:val="24"/>
          <w:highlight w:val="none"/>
        </w:rPr>
        <w:t xml:space="preserve">份</w:t>
      </w:r>
      <w:r>
        <w:rPr>
          <w:rFonts w:hint="eastAsia" w:ascii="宋体" w:hAnsi="宋体"/>
          <w:color w:val="000000"/>
          <w:sz w:val="24"/>
          <w:highlight w:val="none"/>
        </w:rPr>
        <w:t xml:space="preserve">；</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甲方：                                  乙方：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地址：                                  地址：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法定代表人：                            法定代表人：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委托代理人：                            委托代理人：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电话：                                  电话：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传真：                                  传真：                     </w:t>
      </w:r>
      <w:r/>
    </w:p>
    <w:p>
      <w:pPr>
        <w:spacing w:line="360" w:lineRule="auto"/>
        <w:rPr>
          <w:rFonts w:ascii="宋体" w:hAnsi="宋体"/>
          <w:color w:val="000000"/>
          <w:sz w:val="24"/>
          <w:highlight w:val="none"/>
        </w:rPr>
        <w:outlineLvl w:val="0"/>
      </w:pPr>
      <w:r>
        <w:rPr>
          <w:rFonts w:ascii="宋体" w:hAnsi="宋体"/>
          <w:color w:val="000000"/>
          <w:sz w:val="24"/>
          <w:highlight w:val="none"/>
        </w:rPr>
      </w:r>
      <w:r/>
    </w:p>
    <w:p>
      <w:pPr>
        <w:ind w:firstLine="720"/>
        <w:jc w:val="center"/>
        <w:spacing w:line="360" w:lineRule="auto"/>
        <w:rPr>
          <w:rFonts w:ascii="宋体" w:hAnsi="宋体"/>
          <w:color w:val="000000"/>
          <w:sz w:val="24"/>
          <w:highlight w:val="none"/>
        </w:rPr>
        <w:outlineLvl w:val="0"/>
      </w:pPr>
      <w:r>
        <w:rPr>
          <w:rFonts w:hint="eastAsia" w:ascii="宋体" w:hAnsi="宋体"/>
          <w:color w:val="000000"/>
          <w:sz w:val="24"/>
          <w:highlight w:val="none"/>
        </w:rPr>
        <w:t xml:space="preserve">签订日期：      年  月  日</w:t>
      </w:r>
      <w:r/>
    </w:p>
    <w:p>
      <w:pPr>
        <w:jc w:val="center"/>
        <w:spacing w:line="360" w:lineRule="auto"/>
        <w:rPr>
          <w:rStyle w:val="1138"/>
          <w:highlight w:val="none"/>
        </w:rPr>
        <w:outlineLvl w:val="0"/>
      </w:pPr>
      <w:r>
        <w:rPr>
          <w:rFonts w:ascii="黑体" w:hAnsi="Courier New" w:eastAsia="黑体" w:cs="Courier New"/>
          <w:bCs/>
          <w:sz w:val="44"/>
          <w:szCs w:val="21"/>
          <w:highlight w:val="none"/>
        </w:rPr>
        <w:br w:type="page" w:clear="all"/>
      </w:r>
      <w:bookmarkStart w:id="283" w:name="_Toc8567"/>
      <w:r>
        <w:rPr>
          <w:rStyle w:val="1138"/>
          <w:rFonts w:hint="eastAsia"/>
          <w:highlight w:val="none"/>
        </w:rPr>
        <w:t xml:space="preserve">第</w:t>
      </w:r>
      <w:bookmarkEnd w:id="277"/>
      <w:r>
        <w:rPr>
          <w:rStyle w:val="1138"/>
          <w:rFonts w:hint="eastAsia"/>
          <w:highlight w:val="none"/>
        </w:rPr>
        <w:t xml:space="preserve">四章 采购需求</w:t>
      </w:r>
      <w:bookmarkEnd w:id="278"/>
      <w:r/>
      <w:bookmarkEnd w:id="279"/>
      <w:r/>
      <w:bookmarkEnd w:id="280"/>
      <w:r/>
      <w:bookmarkEnd w:id="283"/>
      <w:r/>
      <w:r/>
    </w:p>
    <w:p>
      <w:pPr>
        <w:ind w:firstLine="482"/>
        <w:spacing w:line="360" w:lineRule="auto"/>
        <w:rPr>
          <w:rFonts w:ascii="宋体" w:hAnsi="宋体"/>
          <w:bCs/>
          <w:sz w:val="24"/>
          <w:szCs w:val="24"/>
          <w:highlight w:val="none"/>
        </w:rPr>
      </w:pPr>
      <w:r/>
      <w:bookmarkStart w:id="284" w:name="_Toc26554093"/>
      <w:r/>
      <w:bookmarkStart w:id="285" w:name="_Toc49090575"/>
      <w:r>
        <w:rPr>
          <w:rFonts w:hint="eastAsia" w:ascii="宋体" w:hAnsi="宋体"/>
          <w:b/>
          <w:bCs/>
          <w:sz w:val="24"/>
          <w:szCs w:val="24"/>
          <w:highlight w:val="none"/>
        </w:rPr>
        <w:t xml:space="preserve">一、项目属性:货物类项目。</w:t>
      </w:r>
      <w:r>
        <w:rPr>
          <w:rFonts w:hint="eastAsia" w:ascii="宋体" w:hAnsi="宋体"/>
          <w:bCs/>
          <w:sz w:val="24"/>
          <w:szCs w:val="24"/>
          <w:highlight w:val="none"/>
        </w:rPr>
        <w:t xml:space="preserve">采购标的对应的中小企业划分标准所属行业详见货物采购清单</w:t>
      </w:r>
      <w:r/>
    </w:p>
    <w:p>
      <w:pPr>
        <w:pStyle w:val="1200"/>
        <w:ind w:firstLine="482"/>
        <w:spacing w:before="0" w:line="360" w:lineRule="auto"/>
        <w:rPr>
          <w:highlight w:val="none"/>
        </w:rPr>
      </w:pPr>
      <w:r>
        <w:rPr>
          <w:rFonts w:hint="eastAsia" w:ascii="宋体" w:hAnsi="宋体"/>
          <w:b/>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jc w:val="left"/>
        <w:spacing w:line="360" w:lineRule="auto"/>
        <w:rPr>
          <w:rFonts w:ascii="宋体" w:hAnsi="宋体"/>
          <w:sz w:val="24"/>
          <w:szCs w:val="24"/>
          <w:highlight w:val="none"/>
        </w:rPr>
      </w:pPr>
      <w:r>
        <w:rPr>
          <w:rFonts w:hint="eastAsia" w:ascii="宋体" w:hAnsi="宋体"/>
          <w:b/>
          <w:bCs/>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szCs w:val="24"/>
          <w:highlight w:val="none"/>
        </w:rPr>
        <w:t xml:space="preserve">。</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本项目核心产品为：</w:t>
      </w:r>
      <w:r>
        <w:rPr>
          <w:rFonts w:hint="eastAsia" w:ascii="宋体" w:hAnsi="宋体"/>
          <w:b/>
          <w:color w:val="auto"/>
          <w:sz w:val="24"/>
          <w:szCs w:val="24"/>
          <w:highlight w:val="none"/>
          <w:u w:val="single"/>
        </w:rPr>
        <w:t xml:space="preserve">     教学机器人                </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 xml:space="preserve">。</w:t>
      </w:r>
      <w:r/>
    </w:p>
    <w:p>
      <w:pPr>
        <w:ind w:firstLine="482"/>
        <w:spacing w:line="360" w:lineRule="auto"/>
        <w:rPr>
          <w:rFonts w:ascii="宋体" w:hAnsi="宋体"/>
          <w:b/>
          <w:bCs/>
          <w:sz w:val="24"/>
          <w:szCs w:val="24"/>
          <w:highlight w:val="none"/>
        </w:rPr>
      </w:pPr>
      <w:r/>
      <w:bookmarkStart w:id="286" w:name="_Toc103953737"/>
      <w:r>
        <w:rPr>
          <w:rFonts w:hint="eastAsia" w:ascii="宋体" w:hAnsi="宋体"/>
          <w:b/>
          <w:bCs/>
          <w:sz w:val="24"/>
          <w:szCs w:val="24"/>
          <w:highlight w:val="none"/>
        </w:rPr>
        <w:t xml:space="preserve">二、项目背景</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本项目依据《新一代人工智能发展规划》《关于加强中小学人工智能教育的通知》《中小学人工智能通识教育指南（2025年版）》等文件要求，在实验小学 、长江路小学、灌南县实验中学、灌南县初级中学 、惠泽初中开设人工智能实验室，开展人工智能教育试点。通过系统化的课程、活动和实践，普及人工智能的基本概念、技术原理、应用场景、伦理安全和社会影响的基础性教育。服务引导学生正确处理人与技术、社会的关系，促进思维发展，培养创新精神，提高解决实际问题的能力。</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1.任务目标：建设5个人工智能教室，配备创意编程设备及相关课程资源，开展人工智能教育课程，培养学生创新思维和实践能力。</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2.具体措施：根据学校布局和教育需求，确定实验小学新民路校区、长江路小学本部、淮河路、惠</w:t>
      </w:r>
      <w:r>
        <w:rPr>
          <w:rFonts w:hint="eastAsia" w:ascii="宋体" w:hAnsi="宋体"/>
          <w:sz w:val="24"/>
          <w:szCs w:val="24"/>
          <w:highlight w:val="none"/>
        </w:rPr>
        <w:t xml:space="preserve">泽高中创新部、实验中学本部等5所学校作为人工智能教室建设单位，制定详细的建设方案。招标采购人工智能教室所需硬件设备，包括AI教学平板（教师机硬件）、教师端AI教学平板软件、AI教学平板（学生机硬件）、学生端AI教学平板软件、学生机器人（硬件）、学生机器人（软件）、无线路由器、充电车等，以及配套的教材、实验设备和课程资源，确保设备和资源的质量和适用性。组织专业人员对人工智能教室进行装修和设备安装调试，按照100平方米教室、每平方米800元的装修标准进行环境设计和装修，确保教室布局合理、环境舒适、设备运行正常。</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配备创意编程设备，包括实验小学人民路校区、惠泽路校区、长江路小学硕项湖校区、扬州路小学本部、扬州路小学沂河路校区、淮河路实验学校（小学部）、新集镇莞渎小学、实验中学本部、初级中学、扬州路中学、惠泽高中创新部、惠泽高中、第二中学等13所学校，每校配备一定数量的创意编程设备，满足学生编程学习和实践需求。</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组织教师参加人工智能教育专项培训，邀请人工智能教育专家和企业技术人员进行授课，培训内容包括人工智能基础知识、编程语言、课程设计、教学方法等，提升教师的人工智能教育水平和教学能力。在5所人工智能教室建设学校开展人工智能教育课程试点，安排专人负责课程跟踪和指导，及时解决课程实施过程中出现的问题，确保课程顺利开展。定期组织人工智能教育成果展示活动，通过学生作品展示、编程竞赛、机器人比赛等形式，展示人工智能教育成果，激发学生学习兴趣，营造良好的教育创新氛围。</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3.预期成果：5个人工智能教室建设完成并投入使用，13所学校配备创意编程设备，人工智能教育课程在试点学校顺利开展，学生创新思维和实践能力得到显著提升，形成一批具有代表性的教育创新成果。</w:t>
      </w:r>
      <w:bookmarkEnd w:id="286"/>
      <w:r/>
      <w:r/>
    </w:p>
    <w:p>
      <w:pPr>
        <w:numPr>
          <w:ilvl w:val="0"/>
          <w:numId w:val="7"/>
        </w:num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货物清单及需要满足的技术要求</w:t>
      </w:r>
      <w:r/>
    </w:p>
    <w:p>
      <w:pPr>
        <w:ind w:firstLine="422"/>
        <w:spacing w:line="360" w:lineRule="auto"/>
        <w:rPr>
          <w:rFonts w:ascii="宋体" w:hAnsi="宋体"/>
          <w:b/>
          <w:bCs/>
          <w:color w:val="auto"/>
          <w:sz w:val="24"/>
          <w:szCs w:val="24"/>
          <w:highlight w:val="none"/>
          <w:shd w:val="clear" w:color="auto" w:fill="ffffff"/>
        </w:rPr>
      </w:pPr>
      <w:r>
        <w:rPr>
          <w:rFonts w:hint="eastAsia" w:ascii="宋体" w:hAnsi="宋体"/>
          <w:b/>
          <w:bCs/>
          <w:color w:val="auto"/>
          <w:sz w:val="24"/>
          <w:szCs w:val="24"/>
          <w:highlight w:val="none"/>
          <w:shd w:val="clear" w:color="auto" w:fill="ffffff"/>
        </w:rPr>
        <w:t xml:space="preserve">（一）采购清单</w:t>
      </w:r>
      <w:r/>
    </w:p>
    <w:tbl>
      <w:tblPr>
        <w:tblStyle w:val="943"/>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603"/>
        <w:gridCol w:w="1015"/>
        <w:gridCol w:w="3376"/>
        <w:gridCol w:w="767"/>
        <w:gridCol w:w="951"/>
        <w:gridCol w:w="2477"/>
      </w:tblGrid>
      <w:tr>
        <w:trPr>
          <w:trHeight w:val="563"/>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b/>
                <w:bCs/>
                <w:color w:val="auto"/>
                <w:sz w:val="20"/>
                <w:szCs w:val="20"/>
                <w:highlight w:val="none"/>
              </w:rPr>
              <w:t xml:space="preserve">建设内容</w:t>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货物名称</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bookmarkStart w:id="287" w:name="OLE_LINK5"/>
            <w:r/>
            <w:bookmarkStart w:id="288" w:name="OLE_LINK6"/>
            <w:r>
              <w:rPr>
                <w:rFonts w:hint="eastAsia" w:ascii="宋体" w:hAnsi="宋体" w:cs="宋体"/>
                <w:color w:val="auto"/>
                <w:sz w:val="20"/>
                <w:szCs w:val="20"/>
                <w:highlight w:val="none"/>
              </w:rPr>
              <w:t xml:space="preserve">中小企业划分标准所属行业</w:t>
            </w:r>
            <w:bookmarkEnd w:id="287"/>
            <w:r/>
            <w:bookmarkEnd w:id="288"/>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right w:val="single" w:color="000000" w:sz="4" w:space="0"/>
            </w:tcBorders>
            <w:tcW w:w="552"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小学人工智能实验室</w:t>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人工智能教学应用系统</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70"/>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人工智能主题课程（小学）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79"/>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信息科技实验活动软件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综合实践开源硬件（小学）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bookmarkStart w:id="289" w:name="OLE_LINK8"/>
            <w:r/>
            <w:bookmarkStart w:id="290" w:name="OLE_LINK7"/>
            <w:r>
              <w:rPr>
                <w:rFonts w:hint="eastAsia" w:ascii="宋体" w:hAnsi="宋体" w:cs="宋体"/>
                <w:color w:val="auto"/>
                <w:sz w:val="20"/>
                <w:szCs w:val="20"/>
                <w:highlight w:val="none"/>
              </w:rPr>
              <w:t xml:space="preserve">软件和信息技术服务业</w:t>
            </w:r>
            <w:bookmarkEnd w:id="289"/>
            <w:r/>
            <w:bookmarkEnd w:id="290"/>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信息科技实验箱（小学版）</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7</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人工智能（入门）</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8</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人工智能（基础）</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信息科技实验活动手册（小学）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Style w:val="1258"/>
                <w:rFonts w:hint="default"/>
                <w:color w:val="auto"/>
                <w:highlight w:val="none"/>
              </w:rPr>
            </w:pPr>
            <w:r>
              <w:rPr>
                <w:rStyle w:val="1258"/>
                <w:rFonts w:hint="default"/>
                <w:color w:val="auto"/>
                <w:highlight w:val="none"/>
              </w:rPr>
              <w:t xml:space="preserve">10</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bookmarkStart w:id="291" w:name="OLE_LINK3"/>
            <w:r/>
            <w:bookmarkStart w:id="292" w:name="OLE_LINK4"/>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w:t>
            </w:r>
            <w:bookmarkEnd w:id="291"/>
            <w:r/>
            <w:bookmarkEnd w:id="292"/>
            <w:r>
              <w:rPr>
                <w:rStyle w:val="1258"/>
                <w:rFonts w:hint="default"/>
                <w:color w:val="auto"/>
                <w:highlight w:val="none"/>
              </w:rPr>
              <w:t xml:space="preserve">（教师机）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Style w:val="1258"/>
                <w:rFonts w:hint="default"/>
                <w:color w:val="auto"/>
                <w:highlight w:val="none"/>
              </w:rPr>
            </w:pPr>
            <w:r>
              <w:rPr>
                <w:rStyle w:val="1258"/>
                <w:rFonts w:hint="default"/>
                <w:color w:val="auto"/>
                <w:highlight w:val="none"/>
              </w:rPr>
              <w:t xml:space="preserve">11</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教师机AI教学平板软件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Style w:val="1258"/>
                <w:rFonts w:hint="default"/>
                <w:color w:val="auto"/>
                <w:highlight w:val="none"/>
              </w:rPr>
            </w:pPr>
            <w:r>
              <w:rPr>
                <w:rStyle w:val="1258"/>
                <w:rFonts w:hint="default"/>
                <w:color w:val="auto"/>
                <w:highlight w:val="none"/>
              </w:rPr>
              <w:t xml:space="preserve">12</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Style w:val="1258"/>
                <w:rFonts w:hint="default"/>
                <w:color w:val="auto"/>
                <w:highlight w:val="none"/>
              </w:rPr>
            </w:pPr>
            <w:r>
              <w:rPr>
                <w:rStyle w:val="1258"/>
                <w:rFonts w:hint="default"/>
                <w:color w:val="auto"/>
                <w:highlight w:val="none"/>
              </w:rPr>
              <w:t xml:space="preserve">13</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14</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教学机器人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教学机器人软件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16</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17</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18</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移动充电车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19</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高阶应用培训服务</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其他未列明行业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20</w:t>
            </w:r>
            <w:r/>
          </w:p>
        </w:tc>
        <w:tc>
          <w:tcPr>
            <w:shd w:val="clear" w:color="auto" w:fill="ffffff"/>
            <w:tcBorders>
              <w:top w:val="single" w:color="000000" w:sz="4" w:space="0"/>
              <w:left w:val="single" w:color="000000" w:sz="4" w:space="0"/>
              <w:right w:val="single" w:color="000000" w:sz="4" w:space="0"/>
            </w:tcBorders>
            <w:tcW w:w="552"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初中人工智能实验室</w:t>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人工智能教学应用系统</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21</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人工智能主题课程-初中</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22</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信息科技实验活动软件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23</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综合实践开源硬件（初中版）</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24</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25</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信息科技实验箱（初中版）</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26</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人工智能(进阶)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27</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信息科技实验活动手册（初中）</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28</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AI教学平板（教师机）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29</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教师机AI教学平板软件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30</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31</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32</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教学机器人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33</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教学机器人软件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34</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35</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36</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移动充电车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37</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高阶应用培训服务</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其他未列明行业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38</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综合实践开源硬件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39</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40</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41</w:t>
            </w:r>
            <w:r/>
          </w:p>
        </w:tc>
        <w:tc>
          <w:tcPr>
            <w:shd w:val="clear" w:color="auto" w:fill="ffffff"/>
            <w:tcBorders>
              <w:left w:val="single" w:color="000000" w:sz="4" w:space="0"/>
              <w:bottom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bl>
    <w:p>
      <w:pPr>
        <w:ind w:firstLine="422"/>
        <w:spacing w:line="360" w:lineRule="auto"/>
        <w:rPr>
          <w:rFonts w:ascii="宋体" w:hAnsi="宋体"/>
          <w:b/>
          <w:bCs/>
          <w:sz w:val="24"/>
          <w:szCs w:val="24"/>
          <w:highlight w:val="none"/>
          <w:shd w:val="clear" w:color="auto" w:fill="ffffff"/>
        </w:rPr>
      </w:pPr>
      <w:r>
        <w:rPr>
          <w:rFonts w:hint="eastAsia" w:ascii="宋体" w:hAnsi="宋体"/>
          <w:b/>
          <w:bCs/>
          <w:sz w:val="24"/>
          <w:szCs w:val="24"/>
          <w:highlight w:val="none"/>
          <w:shd w:val="clear" w:color="auto" w:fill="ffffff"/>
        </w:rPr>
        <w:t xml:space="preserve">（二）技术（标的）参数及功能指标</w:t>
      </w:r>
      <w:r/>
    </w:p>
    <w:tbl>
      <w:tblPr>
        <w:tblStyle w:val="943"/>
        <w:tblW w:w="9196" w:type="dxa"/>
        <w:jc w:val="center"/>
        <w:tblLayout w:type="fixed"/>
        <w:tblCellMar>
          <w:left w:w="64" w:type="dxa"/>
          <w:top w:w="32" w:type="dxa"/>
          <w:right w:w="64" w:type="dxa"/>
          <w:bottom w:w="32" w:type="dxa"/>
        </w:tblCellMar>
        <w:tblLook w:val="04A0" w:firstRow="1" w:lastRow="0" w:firstColumn="1" w:lastColumn="0" w:noHBand="0" w:noVBand="1"/>
      </w:tblPr>
      <w:tblGrid>
        <w:gridCol w:w="614"/>
        <w:gridCol w:w="618"/>
        <w:gridCol w:w="488"/>
        <w:gridCol w:w="469"/>
        <w:gridCol w:w="7007"/>
      </w:tblGrid>
      <w:tr>
        <w:trPr>
          <w:jc w:val="cente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Next/>
              <w:widowControl/>
              <w:rPr>
                <w:rFonts w:hint="default" w:ascii="宋体" w:hAnsi="宋体" w:eastAsia="宋体" w:cs="宋体"/>
                <w:b/>
                <w:bCs/>
                <w:color w:val="000000"/>
                <w:sz w:val="20"/>
                <w:szCs w:val="20"/>
                <w:highlight w:val="none"/>
                <w:lang w:val="en-US" w:eastAsia="zh-CN"/>
              </w:rPr>
            </w:pPr>
            <w:r>
              <w:rPr>
                <w:rFonts w:hint="eastAsia" w:ascii="宋体" w:hAnsi="宋体" w:cs="宋体"/>
                <w:b/>
                <w:bCs/>
                <w:color w:val="000000"/>
                <w:sz w:val="20"/>
                <w:szCs w:val="20"/>
                <w:highlight w:val="none"/>
              </w:rPr>
              <w:t xml:space="preserve">建设内容</w:t>
            </w:r>
            <w:r>
              <w:rPr>
                <w:rFonts w:hint="eastAsia" w:ascii="宋体" w:hAnsi="宋体" w:cs="宋体"/>
                <w:b/>
                <w:bCs/>
                <w:color w:val="000000"/>
                <w:sz w:val="20"/>
                <w:szCs w:val="20"/>
                <w:highlight w:val="none"/>
                <w:lang w:val="en-US" w:eastAsia="zh-CN"/>
              </w:rPr>
              <w:t xml:space="preserve">及货物名称</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招标参数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小学人工智能实验室</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人工智能教学应用系统</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一、课程中心管理：需具有资源上传、资源下载、资源预览、资源检索功能：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1、资源上传：需支持文档类文件、图片类文件、视频类文件的上传与播放浏览；</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2、资源下载：需支持下载单个资源到本地和打包下载一节课下的所有资源（除视频）到本地；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3、资源预览：需支持文档类文件与视频类文件的在线预览与播放；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4、资源检索：需支持通过关键词检索资源。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二、 A I 编程至少提供图形化、 Python 编程界面，需支持师生根据需要选择编程方式，进行拼接、移动、组合完成编程作品。同时支持将编 程好的成果发送给机器设备软件接收并运行。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▲1、编程能力需包括基础能力（运动、外观、声音、运算、变量、流程等）和 AI 能力（文字识别、人脸识别、物体识别、机器 翻译、人机对话等人工智能能力）供编程调用；</w:t>
            </w:r>
            <w:r>
              <w:rPr>
                <w:rFonts w:hint="eastAsia" w:ascii="宋体" w:hAnsi="宋体" w:cs="宋体"/>
                <w:b/>
                <w:bCs/>
                <w:color w:val="000000"/>
                <w:sz w:val="20"/>
                <w:szCs w:val="20"/>
                <w:highlight w:val="none"/>
              </w:rPr>
              <w:t xml:space="preserve">（需提供功能截图）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2、具有编程成果管理系统，需支持将编程成果进行分类存储保存在云端；支持对编程成果重新命名、保存、删除、复制、分享；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3、具有编程样例，需支持在线编辑、修改并保存到自己的成果中，供老师参考教学。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三、项目设计管理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2、项目修改：平台需支持教师端使用模板创建项目，重新选择适用年级、关联课程、可使用的编程硬件、需要关联的实验等信息；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3、项目发布：平台需支持快速发布项目、创建项目小组、查看项目详情；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4、项目查看：平台需支持教师查看班级中小组参与项目的完成度；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5、评价与反思: 平台需支持教师查看项目及评价情况，支持学生查看项目情况与即时评价与反思。</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四、师训中心管理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1、师训课程资源：提供人工智能师训课程，课程以视频形式呈现。课程主题需包含机器学习、深度学习、语音合成、语音识别、声纹识别、语音评测、文字识别、人脸识别。</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2、课程筛选：平台需提供师训课程筛选服务，可根据学段、分类等信息进行筛选。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3、课程推荐：需提供师训课程浏览和推荐服务。未完成的课程可先收藏后继续学习。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五、 AI 讲堂管理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1、资源类型：包含但不限于 AI 技术探究、AI应用学习、AI前沿发展；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2、资源领域：≥12 种，包含但不限于大数据、机器视觉、开发技术、智能硬件、人机交互、语音转写、 AI 体育、 AI 游戏、 AI 生活、 AI 医疗、 AI 人才、 AI 教育；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3、资源难度：需支持按初级、中级、高级三个难度等级进行筛选；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4、资源查询：提供 AI 讲堂资源查询服务，支持用户登录平台后根据关键词（如：语音唤醒、语音转写、声纹识别、机器翻译等）进行课 程查询；</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5、资源评论：需提供资源评论服务，在每节资源下方设置评论模块，支持用户发表文字评论；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6、资源推荐：需提供推荐服务，支持根据用户学习内容推荐相关资源；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六、 AI 班级管理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需支持按班级名称、班级 ID 以及创建时间实施教师创建、加入管理 AI 班级，可查看学生成果数量，管理班级中的其他教师和学生。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七、信息统计：需支持对累计备授课数、线上培训、学生人数、学生成果等多维度数据进行实时统计展示。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人工智能主题课程（小学）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1、需提供小学阶段≥38课时人工智能主题相关的教学资源，包含但不限于：教学设计、课件、视频、学习单、教师手册等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2、课程内容包含但不限于：生活中的人工智能、社会中的人工智能、声纹识别与超声避障、计算机视觉技术的发展与应用、人工智能对学习的发展和影响等。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▲3、课程配套的感知实验≥5个，以微课视频形式展现，包括但不限于：社会中的AI、学习中的AI、生活中的AI、问答系统、机器翻译等。</w:t>
            </w:r>
            <w:r>
              <w:rPr>
                <w:rFonts w:hint="eastAsia" w:ascii="宋体" w:hAnsi="宋体" w:cs="宋体"/>
                <w:b/>
                <w:bCs/>
                <w:color w:val="000000"/>
                <w:sz w:val="20"/>
                <w:szCs w:val="20"/>
                <w:highlight w:val="none"/>
              </w:rPr>
              <w:t xml:space="preserve">（需提供功能截图）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信息科技实验活动软件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Style w:val="1256"/>
                <w:rFonts w:hint="default"/>
                <w:highlight w:val="none"/>
              </w:rPr>
              <w:t xml:space="preserve">一、教师端</w:t>
            </w:r>
            <w:r>
              <w:rPr>
                <w:rStyle w:val="1256"/>
                <w:rFonts w:hint="default"/>
                <w:highlight w:val="none"/>
              </w:rPr>
              <w:br/>
            </w:r>
            <w:r>
              <w:rPr>
                <w:rStyle w:val="1256"/>
                <w:rFonts w:hint="default"/>
                <w:highlight w:val="none"/>
              </w:rPr>
              <w:t xml:space="preserve">教师端需提供班级管理、手册、实验、工具、活动、学情等功能模块，具体功能要求如下：</w:t>
            </w:r>
            <w:r>
              <w:rPr>
                <w:rStyle w:val="1256"/>
                <w:rFonts w:hint="default"/>
                <w:highlight w:val="none"/>
              </w:rPr>
              <w:br/>
            </w:r>
            <w:r>
              <w:rPr>
                <w:rStyle w:val="1256"/>
                <w:rFonts w:hint="default"/>
                <w:highlight w:val="none"/>
              </w:rPr>
              <w:t xml:space="preserve">1.班级管理</w:t>
            </w:r>
            <w:r>
              <w:rPr>
                <w:rStyle w:val="1256"/>
                <w:rFonts w:hint="default"/>
                <w:highlight w:val="none"/>
              </w:rPr>
              <w:br/>
            </w:r>
            <w:r>
              <w:rPr>
                <w:rStyle w:val="1256"/>
                <w:rFonts w:hint="default"/>
                <w:highlight w:val="none"/>
              </w:rPr>
              <w:t xml:space="preserve">（1）需支持教师获取所授班级，按照班级获取学生名单；</w:t>
            </w:r>
            <w:r>
              <w:rPr>
                <w:rStyle w:val="1256"/>
                <w:rFonts w:hint="default"/>
                <w:highlight w:val="none"/>
              </w:rPr>
              <w:br/>
            </w:r>
            <w:r>
              <w:rPr>
                <w:rStyle w:val="1256"/>
                <w:rFonts w:hint="default"/>
                <w:highlight w:val="none"/>
              </w:rPr>
              <w:t xml:space="preserve">（2）需支持查看各学生姓名、账号等信息；</w:t>
            </w:r>
            <w:r>
              <w:rPr>
                <w:rStyle w:val="1256"/>
                <w:rFonts w:hint="default"/>
                <w:highlight w:val="none"/>
              </w:rPr>
              <w:br/>
            </w:r>
            <w:r>
              <w:rPr>
                <w:rStyle w:val="1256"/>
                <w:rFonts w:hint="default"/>
                <w:highlight w:val="none"/>
              </w:rPr>
              <w:t xml:space="preserve">2.手册</w:t>
            </w:r>
            <w:r>
              <w:rPr>
                <w:rStyle w:val="1256"/>
                <w:rFonts w:hint="default"/>
                <w:highlight w:val="none"/>
              </w:rPr>
              <w:br/>
            </w:r>
            <w:r>
              <w:rPr>
                <w:rStyle w:val="1256"/>
                <w:rFonts w:hint="default"/>
                <w:highlight w:val="none"/>
              </w:rPr>
              <w:t xml:space="preserve">（1）需支持教师在资源授权后，查看不同年级数字实验手册；</w:t>
            </w:r>
            <w:r>
              <w:rPr>
                <w:rStyle w:val="1256"/>
                <w:rFonts w:hint="default"/>
                <w:highlight w:val="none"/>
              </w:rPr>
              <w:br/>
            </w:r>
            <w:r>
              <w:rPr>
                <w:rStyle w:val="1256"/>
                <w:rFonts w:hint="default"/>
                <w:highlight w:val="none"/>
              </w:rPr>
              <w:t xml:space="preserve">（2）需支持教师对数字实验手册内容进行备注，提供画笔功能，支持教师进行圈画批注操作；</w:t>
            </w:r>
            <w:r>
              <w:rPr>
                <w:rStyle w:val="1256"/>
                <w:rFonts w:hint="default"/>
                <w:highlight w:val="none"/>
              </w:rPr>
              <w:br/>
            </w:r>
            <w:r>
              <w:rPr>
                <w:rStyle w:val="1256"/>
                <w:rFonts w:hint="default"/>
                <w:highlight w:val="none"/>
              </w:rPr>
              <w:t xml:space="preserve">（3）需支持手册嵌入学科工具、实验程序，支持教师在数字实验手册中直接打开预览和体验操作；</w:t>
            </w:r>
            <w:r>
              <w:rPr>
                <w:rStyle w:val="1256"/>
                <w:rFonts w:hint="default"/>
                <w:highlight w:val="none"/>
              </w:rPr>
              <w:br/>
            </w:r>
            <w:r>
              <w:rPr>
                <w:rStyle w:val="1256"/>
                <w:rFonts w:hint="default"/>
                <w:highlight w:val="none"/>
              </w:rPr>
              <w:t xml:space="preserve">（4）需支持展示数字实验手册的基本介绍与交互使用说明；</w:t>
            </w:r>
            <w:r>
              <w:rPr>
                <w:rStyle w:val="1256"/>
                <w:rFonts w:hint="default"/>
                <w:highlight w:val="none"/>
              </w:rPr>
              <w:br/>
            </w:r>
            <w:r>
              <w:rPr>
                <w:rStyle w:val="1256"/>
                <w:rFonts w:hint="default"/>
                <w:highlight w:val="none"/>
              </w:rPr>
              <w:t xml:space="preserve">3.实验</w:t>
            </w:r>
            <w:r>
              <w:rPr>
                <w:rStyle w:val="1256"/>
                <w:rFonts w:hint="default"/>
                <w:highlight w:val="none"/>
              </w:rPr>
              <w:br/>
            </w:r>
            <w:r>
              <w:rPr>
                <w:rStyle w:val="1256"/>
                <w:rFonts w:hint="default"/>
                <w:highlight w:val="none"/>
              </w:rPr>
              <w:t xml:space="preserve">（1）需支持展示所有实验资源，包括虚拟实验、硬件实验、工具实验，便于教师开展实验活动；</w:t>
            </w:r>
            <w:r>
              <w:rPr>
                <w:rStyle w:val="1256"/>
                <w:rFonts w:hint="default"/>
                <w:highlight w:val="none"/>
              </w:rPr>
              <w:br/>
            </w:r>
            <w:r>
              <w:rPr>
                <w:rStyle w:val="1256"/>
                <w:rFonts w:hint="default"/>
                <w:highlight w:val="none"/>
              </w:rPr>
              <w:t xml:space="preserve">（2）虚拟实验、硬件实验需支持教师直接在实验中心中打开体验实验资源；</w:t>
            </w:r>
            <w:r>
              <w:rPr>
                <w:rStyle w:val="1256"/>
                <w:rFonts w:hint="default"/>
                <w:highlight w:val="none"/>
              </w:rPr>
              <w:br/>
            </w:r>
            <w:r>
              <w:rPr>
                <w:rStyle w:val="1256"/>
                <w:rFonts w:hint="default"/>
                <w:highlight w:val="none"/>
              </w:rPr>
              <w:t xml:space="preserve">4.工具</w:t>
            </w:r>
            <w:r>
              <w:rPr>
                <w:rStyle w:val="1256"/>
                <w:rFonts w:hint="default"/>
                <w:highlight w:val="none"/>
              </w:rPr>
              <w:br/>
            </w:r>
            <w:r>
              <w:rPr>
                <w:rStyle w:val="1256"/>
                <w:rFonts w:hint="default"/>
                <w:highlight w:val="none"/>
              </w:rPr>
              <w:t xml:space="preserve">（1）需提供图形化编程、Python编程、流程图、思维导图、二维码生成工具、文档编辑器等工具，需支持教师用户在应用工具、活动详情中调用以上学科工具；</w:t>
            </w:r>
            <w:r>
              <w:rPr>
                <w:rStyle w:val="1256"/>
                <w:rFonts w:hint="default"/>
                <w:highlight w:val="none"/>
              </w:rPr>
              <w:br/>
            </w:r>
            <w:r>
              <w:rPr>
                <w:rStyle w:val="1256"/>
                <w:rFonts w:hint="default"/>
                <w:highlight w:val="none"/>
              </w:rPr>
              <w:t xml:space="preserve">（2）图形化编程工具：</w:t>
            </w:r>
            <w:r>
              <w:rPr>
                <w:rStyle w:val="1256"/>
                <w:rFonts w:hint="default"/>
                <w:highlight w:val="none"/>
              </w:rPr>
              <w:br/>
            </w:r>
            <w:r>
              <w:rPr>
                <w:rStyle w:val="1256"/>
                <w:rFonts w:hint="default"/>
                <w:highlight w:val="none"/>
              </w:rPr>
              <w:t xml:space="preserve">需支持不少于16类编程积木，包含但不限于输入、传感器、执行器、音频、广播、循环、逻辑、数学、文本、变量、引脚、物联网、函数、列表、元组，支持添加AI类能力，包括AI摄像头，AI摄像头支持人脸识别、物体识别、自学习分类等。</w:t>
            </w:r>
            <w:r>
              <w:rPr>
                <w:rStyle w:val="1256"/>
                <w:rFonts w:hint="default"/>
                <w:highlight w:val="none"/>
              </w:rPr>
              <w:br/>
            </w:r>
            <w:r>
              <w:rPr>
                <w:rStyle w:val="1256"/>
                <w:rFonts w:hint="default"/>
                <w:highlight w:val="none"/>
              </w:rPr>
              <w:t xml:space="preserve">（3）Python编程工具：需支持在线编写python代码，支持在线运行，支持打开和保存用户个人的成果；</w:t>
            </w:r>
            <w:r>
              <w:rPr>
                <w:rStyle w:val="1256"/>
                <w:rFonts w:hint="default"/>
                <w:highlight w:val="none"/>
              </w:rPr>
              <w:br/>
            </w:r>
            <w:r>
              <w:rPr>
                <w:rStyle w:val="1256"/>
                <w:rFonts w:hint="default"/>
                <w:highlight w:val="none"/>
              </w:rPr>
              <w:t xml:space="preserve">（4）流程图工具：需支持绘制流程图元素及连接线，元素包含开始框、处理框、判断框、输入框，并支持对绘制区域放大、缩小、平移；</w:t>
            </w:r>
            <w:r>
              <w:rPr>
                <w:rStyle w:val="1256"/>
                <w:rFonts w:hint="default"/>
                <w:highlight w:val="none"/>
              </w:rPr>
              <w:br/>
            </w:r>
            <w:r>
              <w:rPr>
                <w:rStyle w:val="1256"/>
                <w:rFonts w:hint="default"/>
                <w:highlight w:val="none"/>
              </w:rPr>
              <w:t xml:space="preserve">（5）思维导图工具：需支持绘制思维导图，支持编辑中心主题，支持增删改分支主题，并支持修改导图文本格式，包含但不限于字号设置、字体颜色设置等；</w:t>
            </w:r>
            <w:r>
              <w:rPr>
                <w:rStyle w:val="1256"/>
                <w:rFonts w:hint="default"/>
                <w:highlight w:val="none"/>
              </w:rPr>
              <w:br/>
            </w:r>
            <w:r>
              <w:rPr>
                <w:rStyle w:val="1256"/>
                <w:rFonts w:hint="default"/>
                <w:highlight w:val="none"/>
              </w:rPr>
              <w:t xml:space="preserve">（6）二维码生成工具：需支持生成网站、文字、图片二维码；支持预览二维码，并支持查看二维码扫描效果；支持下载二维码图片保存到本地；</w:t>
            </w:r>
            <w:r>
              <w:rPr>
                <w:rStyle w:val="1256"/>
                <w:rFonts w:hint="default"/>
                <w:highlight w:val="none"/>
              </w:rPr>
              <w:br/>
            </w:r>
            <w:r>
              <w:rPr>
                <w:rStyle w:val="1256"/>
                <w:rFonts w:hint="default"/>
                <w:highlight w:val="none"/>
              </w:rPr>
              <w:t xml:space="preserve">（7）文档编辑器：需支持输入文字，并支持对文字格式、字体颜色、字体大小、段落样式进行调整；</w:t>
            </w:r>
            <w:r>
              <w:rPr>
                <w:rStyle w:val="1256"/>
                <w:rFonts w:hint="default"/>
                <w:highlight w:val="none"/>
              </w:rPr>
              <w:br/>
            </w:r>
            <w:r>
              <w:rPr>
                <w:rStyle w:val="1256"/>
                <w:rFonts w:hint="default"/>
                <w:highlight w:val="none"/>
              </w:rPr>
              <w:t xml:space="preserve">5.活动</w:t>
            </w:r>
            <w:r>
              <w:rPr>
                <w:rStyle w:val="1256"/>
                <w:rFonts w:hint="default"/>
                <w:highlight w:val="none"/>
              </w:rPr>
              <w:br/>
            </w:r>
            <w:r>
              <w:rPr>
                <w:rStyle w:val="1256"/>
                <w:rFonts w:hint="default"/>
                <w:highlight w:val="none"/>
              </w:rPr>
              <w:t xml:space="preserve">（1）需支持教师创建并发布活动，发布活动支持关联班级，并能按照时间轴查看发布历史；</w:t>
            </w:r>
            <w:r>
              <w:rPr>
                <w:rStyle w:val="1256"/>
                <w:rFonts w:hint="default"/>
                <w:highlight w:val="none"/>
              </w:rPr>
              <w:br/>
            </w:r>
            <w:r>
              <w:rPr>
                <w:rStyle w:val="1256"/>
                <w:rFonts w:hint="default"/>
                <w:highlight w:val="none"/>
              </w:rPr>
              <w:t xml:space="preserve">（2）需支持教师查看已发送的活动和学生提交的活动成果，教师于课前中后将活动发送至指定班级，均可于此查看学生的活动完成情况接收学生活动成果；</w:t>
            </w:r>
            <w:r>
              <w:rPr>
                <w:rStyle w:val="1256"/>
                <w:rFonts w:hint="default"/>
                <w:highlight w:val="none"/>
              </w:rPr>
              <w:br/>
            </w:r>
            <w:r>
              <w:rPr>
                <w:rStyle w:val="1256"/>
                <w:rFonts w:hint="default"/>
                <w:highlight w:val="none"/>
              </w:rPr>
              <w:t xml:space="preserve">（3）需支持教师针对已提交的学生活动开展评价、点评，评价维度包含但不限于学习态度、任务达成、创新意识等。</w:t>
            </w:r>
            <w:r>
              <w:rPr>
                <w:rStyle w:val="1256"/>
                <w:rFonts w:hint="default"/>
                <w:highlight w:val="none"/>
              </w:rPr>
              <w:br/>
            </w:r>
            <w:r>
              <w:rPr>
                <w:rStyle w:val="1256"/>
                <w:rFonts w:hint="default"/>
                <w:highlight w:val="none"/>
              </w:rPr>
              <w:t xml:space="preserve">6.学情</w:t>
            </w:r>
            <w:r>
              <w:rPr>
                <w:rStyle w:val="1256"/>
                <w:rFonts w:hint="default"/>
                <w:highlight w:val="none"/>
              </w:rPr>
              <w:br/>
            </w:r>
            <w:r>
              <w:rPr>
                <w:rStyle w:val="1256"/>
                <w:rFonts w:hint="default"/>
                <w:highlight w:val="none"/>
              </w:rPr>
              <w:t xml:space="preserve">（1）需支持展示全班以及学生个人的多维度的学习数据；</w:t>
            </w:r>
            <w:r>
              <w:rPr>
                <w:rStyle w:val="1256"/>
                <w:rFonts w:hint="default"/>
                <w:highlight w:val="none"/>
              </w:rPr>
              <w:br/>
            </w:r>
            <w:r>
              <w:rPr>
                <w:rStyle w:val="1256"/>
                <w:rFonts w:hint="default"/>
                <w:highlight w:val="none"/>
              </w:rPr>
              <w:t xml:space="preserve">（2）需支持教师查看班级总览数据，包含但不限于实验学习次数、工具应用次数、活动提交次数等。</w:t>
            </w:r>
            <w:r>
              <w:rPr>
                <w:rStyle w:val="1256"/>
                <w:rFonts w:hint="default"/>
                <w:highlight w:val="none"/>
              </w:rPr>
              <w:br/>
            </w:r>
            <w:r>
              <w:rPr>
                <w:rStyle w:val="1256"/>
                <w:rFonts w:hint="default"/>
                <w:color w:val="auto"/>
                <w:highlight w:val="none"/>
              </w:rPr>
              <w:t xml:space="preserve">（3）需支持教师查看班级内任意一位学生的个人数据，包含但不限于活动提交次数、活动评价用时、优秀活动数、实验学习次数等；</w:t>
            </w:r>
            <w:r>
              <w:rPr>
                <w:rStyle w:val="1256"/>
                <w:rFonts w:hint="default"/>
                <w:color w:val="auto"/>
                <w:highlight w:val="none"/>
              </w:rPr>
              <w:br/>
            </w:r>
            <w:r>
              <w:rPr>
                <w:rFonts w:hint="eastAsia" w:ascii="宋体" w:hAnsi="宋体" w:cs="宋体"/>
                <w:sz w:val="20"/>
                <w:szCs w:val="12"/>
                <w:highlight w:val="none"/>
              </w:rPr>
              <w:t xml:space="preserve">（4）需支持管理员查看全校概览数据，包括但不限于覆盖班级数、覆盖教师数、覆盖学生数、实验学习次数、工具应用次数；</w:t>
            </w:r>
            <w:r>
              <w:rPr>
                <w:rFonts w:hint="eastAsia" w:ascii="宋体" w:hAnsi="宋体" w:cs="宋体"/>
                <w:sz w:val="20"/>
                <w:szCs w:val="12"/>
                <w:highlight w:val="none"/>
              </w:rPr>
              <w:br/>
            </w:r>
            <w:r>
              <w:rPr>
                <w:rFonts w:hint="eastAsia" w:ascii="宋体" w:hAnsi="宋体" w:cs="宋体"/>
                <w:sz w:val="20"/>
                <w:szCs w:val="12"/>
                <w:highlight w:val="none"/>
              </w:rPr>
              <w:t xml:space="preserve">（5）需支持按照时间维度进行筛选，包含但不限于近7天、近30天、上学期、本学期等。</w:t>
            </w:r>
            <w:r>
              <w:rPr>
                <w:rStyle w:val="1257"/>
                <w:rFonts w:hint="default"/>
                <w:color w:val="auto"/>
                <w:sz w:val="20"/>
                <w:highlight w:val="none"/>
              </w:rPr>
              <w:br/>
            </w:r>
            <w:r>
              <w:rPr>
                <w:rStyle w:val="1257"/>
                <w:rFonts w:hint="default"/>
                <w:color w:val="auto"/>
                <w:sz w:val="20"/>
                <w:highlight w:val="none"/>
              </w:rPr>
              <w:t xml:space="preserve">二、学生端</w:t>
            </w:r>
            <w:r>
              <w:rPr>
                <w:rStyle w:val="1257"/>
                <w:rFonts w:hint="default"/>
                <w:color w:val="auto"/>
                <w:sz w:val="20"/>
                <w:highlight w:val="none"/>
              </w:rPr>
              <w:br/>
            </w:r>
            <w:r>
              <w:rPr>
                <w:rStyle w:val="1257"/>
                <w:rFonts w:hint="default"/>
                <w:color w:val="auto"/>
                <w:sz w:val="20"/>
                <w:highlight w:val="none"/>
              </w:rPr>
              <w:t xml:space="preserve">学生端需提供手册、实验、工具、活动、学情等功能模块，具体功能要求如下：</w:t>
            </w:r>
            <w:r>
              <w:rPr>
                <w:rStyle w:val="1257"/>
                <w:rFonts w:hint="default"/>
                <w:color w:val="auto"/>
                <w:sz w:val="20"/>
                <w:highlight w:val="none"/>
              </w:rPr>
              <w:br/>
            </w:r>
            <w:r>
              <w:rPr>
                <w:rStyle w:val="1257"/>
                <w:rFonts w:hint="default"/>
                <w:color w:val="auto"/>
                <w:sz w:val="20"/>
                <w:highlight w:val="none"/>
              </w:rPr>
              <w:t xml:space="preserve">1. 手册</w:t>
            </w:r>
            <w:r>
              <w:rPr>
                <w:rStyle w:val="1257"/>
                <w:rFonts w:hint="default"/>
                <w:color w:val="auto"/>
                <w:sz w:val="20"/>
                <w:highlight w:val="none"/>
              </w:rPr>
              <w:br/>
            </w:r>
            <w:r>
              <w:rPr>
                <w:rStyle w:val="1257"/>
                <w:rFonts w:hint="default"/>
                <w:sz w:val="20"/>
                <w:highlight w:val="none"/>
              </w:rPr>
              <w:t xml:space="preserve">（1）需支持学生在资源授权后，查看不同年级数字实验手册；</w:t>
            </w:r>
            <w:r>
              <w:rPr>
                <w:rStyle w:val="1257"/>
                <w:rFonts w:hint="default"/>
                <w:sz w:val="20"/>
                <w:highlight w:val="none"/>
              </w:rPr>
              <w:br/>
            </w:r>
            <w:r>
              <w:rPr>
                <w:rStyle w:val="1257"/>
                <w:rFonts w:hint="default"/>
                <w:sz w:val="20"/>
                <w:highlight w:val="none"/>
              </w:rPr>
              <w:t xml:space="preserve">（2）需支持学生对数字实验手册内容进行备注，提供画笔功能，支持学生进行圈画批注操作；</w:t>
            </w:r>
            <w:r>
              <w:rPr>
                <w:rStyle w:val="1257"/>
                <w:rFonts w:hint="default"/>
                <w:sz w:val="20"/>
                <w:highlight w:val="none"/>
              </w:rPr>
              <w:br/>
            </w:r>
            <w:r>
              <w:rPr>
                <w:rStyle w:val="1257"/>
                <w:rFonts w:hint="default"/>
                <w:sz w:val="20"/>
                <w:highlight w:val="none"/>
              </w:rPr>
              <w:t xml:space="preserve">（3）需支持手册嵌入学科工具、实验程序，支持学生在数字实验手册中直接打开预览和体验操作；</w:t>
            </w:r>
            <w:r>
              <w:rPr>
                <w:rStyle w:val="1257"/>
                <w:rFonts w:hint="default"/>
                <w:sz w:val="20"/>
                <w:highlight w:val="none"/>
              </w:rPr>
              <w:br/>
            </w:r>
            <w:r>
              <w:rPr>
                <w:rStyle w:val="1257"/>
                <w:rFonts w:hint="default"/>
                <w:sz w:val="20"/>
                <w:highlight w:val="none"/>
              </w:rPr>
              <w:t xml:space="preserve">（4）需支持展示数字实验手册的基本介绍与交互使用说明；</w:t>
            </w:r>
            <w:r>
              <w:rPr>
                <w:rStyle w:val="1257"/>
                <w:rFonts w:hint="default"/>
                <w:sz w:val="20"/>
                <w:highlight w:val="none"/>
              </w:rPr>
              <w:br/>
            </w:r>
            <w:r>
              <w:rPr>
                <w:rStyle w:val="1257"/>
                <w:rFonts w:hint="default"/>
                <w:sz w:val="20"/>
                <w:highlight w:val="none"/>
              </w:rPr>
              <w:t xml:space="preserve">（5）数字实验手册需支持提供快捷翻页、跳转功能；</w:t>
            </w:r>
            <w:r>
              <w:rPr>
                <w:rStyle w:val="1257"/>
                <w:rFonts w:hint="default"/>
                <w:sz w:val="20"/>
                <w:highlight w:val="none"/>
              </w:rPr>
              <w:br/>
            </w:r>
            <w:r>
              <w:rPr>
                <w:rStyle w:val="1257"/>
                <w:rFonts w:hint="default"/>
                <w:sz w:val="20"/>
                <w:highlight w:val="none"/>
              </w:rPr>
              <w:t xml:space="preserve">2.实验</w:t>
            </w:r>
            <w:r>
              <w:rPr>
                <w:rStyle w:val="1257"/>
                <w:rFonts w:hint="default"/>
                <w:sz w:val="20"/>
                <w:highlight w:val="none"/>
              </w:rPr>
              <w:br/>
            </w:r>
            <w:r>
              <w:rPr>
                <w:rStyle w:val="1257"/>
                <w:rFonts w:hint="default"/>
                <w:sz w:val="20"/>
                <w:highlight w:val="none"/>
              </w:rPr>
              <w:t xml:space="preserve">（1）需支持展示所有实验资源，包括虚拟实验、硬件实验、工具实验，便于开展实验活动；</w:t>
            </w:r>
            <w:r>
              <w:rPr>
                <w:rStyle w:val="1257"/>
                <w:rFonts w:hint="default"/>
                <w:sz w:val="20"/>
                <w:highlight w:val="none"/>
              </w:rPr>
              <w:br/>
            </w:r>
            <w:r>
              <w:rPr>
                <w:rStyle w:val="1257"/>
                <w:rFonts w:hint="default"/>
                <w:sz w:val="20"/>
                <w:highlight w:val="none"/>
              </w:rPr>
              <w:t xml:space="preserve">（2）虚拟实验、硬件实验需支持学生直接在实验中心中打开体验实验资源；</w:t>
            </w:r>
            <w:r>
              <w:rPr>
                <w:rStyle w:val="1257"/>
                <w:rFonts w:hint="default"/>
                <w:sz w:val="20"/>
                <w:highlight w:val="none"/>
              </w:rPr>
              <w:br/>
            </w:r>
            <w:r>
              <w:rPr>
                <w:rStyle w:val="1257"/>
                <w:rFonts w:hint="default"/>
                <w:sz w:val="20"/>
                <w:highlight w:val="none"/>
              </w:rPr>
              <w:t xml:space="preserve">3.工具</w:t>
            </w:r>
            <w:r>
              <w:rPr>
                <w:rStyle w:val="1257"/>
                <w:rFonts w:hint="default"/>
                <w:sz w:val="20"/>
                <w:highlight w:val="none"/>
              </w:rPr>
              <w:br/>
            </w:r>
            <w:r>
              <w:rPr>
                <w:rStyle w:val="1257"/>
                <w:rFonts w:hint="default"/>
                <w:sz w:val="20"/>
                <w:highlight w:val="none"/>
              </w:rPr>
              <w:t xml:space="preserve">（1）需提供图形化编程、Python编程、流程图、思维导图、二维码生成工具、文档编辑器等工具，支持学生用户在应用工具、活动详情中调用以上学科工具；</w:t>
            </w:r>
            <w:r>
              <w:rPr>
                <w:rStyle w:val="1257"/>
                <w:rFonts w:hint="default"/>
                <w:sz w:val="20"/>
                <w:highlight w:val="none"/>
              </w:rPr>
              <w:br/>
            </w:r>
            <w:r>
              <w:rPr>
                <w:rStyle w:val="1257"/>
                <w:rFonts w:hint="default"/>
                <w:sz w:val="20"/>
                <w:highlight w:val="none"/>
              </w:rPr>
              <w:t xml:space="preserve">（2）图形化编程工具：需支持不少于16类编程积木，包含输入、传感器、执行器、音频、广播、循环、逻辑、数学、文本、变量、引脚、物联网、函数、列表、元组，支持添加AI类能力，包括AI摄像头，AI摄像头支持人脸识别、物体识别、自学习分类等。</w:t>
            </w:r>
            <w:r>
              <w:rPr>
                <w:rStyle w:val="1257"/>
                <w:rFonts w:hint="default"/>
                <w:sz w:val="20"/>
                <w:highlight w:val="none"/>
              </w:rPr>
              <w:br/>
            </w:r>
            <w:r>
              <w:rPr>
                <w:rStyle w:val="1257"/>
                <w:rFonts w:hint="default"/>
                <w:sz w:val="20"/>
                <w:highlight w:val="none"/>
              </w:rPr>
              <w:t xml:space="preserve">（3）Python编程工具：需支持在线编写python代码，支持在线运行，支持打开和保存用户个人的成果；</w:t>
            </w:r>
            <w:r>
              <w:rPr>
                <w:rStyle w:val="1257"/>
                <w:rFonts w:hint="default"/>
                <w:sz w:val="20"/>
                <w:highlight w:val="none"/>
              </w:rPr>
              <w:br/>
            </w:r>
            <w:r>
              <w:rPr>
                <w:rStyle w:val="1257"/>
                <w:rFonts w:hint="default"/>
                <w:sz w:val="20"/>
                <w:highlight w:val="none"/>
              </w:rPr>
              <w:t xml:space="preserve">（4）流程图工具：需支持绘制流程图元素及连接线，元素包含开始框、处理框、判断框、输入框，并支持对绘制区域放大、缩小、平移；</w:t>
            </w:r>
            <w:r>
              <w:rPr>
                <w:rStyle w:val="1257"/>
                <w:rFonts w:hint="default"/>
                <w:sz w:val="20"/>
                <w:highlight w:val="none"/>
              </w:rPr>
              <w:br/>
            </w:r>
            <w:r>
              <w:rPr>
                <w:rStyle w:val="1257"/>
                <w:rFonts w:hint="default"/>
                <w:sz w:val="20"/>
                <w:highlight w:val="none"/>
              </w:rPr>
              <w:t xml:space="preserve">（5）思维导图工具：需支持绘制思维导图，支持编辑中心主题，支持增删改分支主题，并支持修改导图文本格式，包含字号设置、字体颜色设置、格式对齐；</w:t>
            </w:r>
            <w:r>
              <w:rPr>
                <w:rStyle w:val="1257"/>
                <w:rFonts w:hint="default"/>
                <w:sz w:val="20"/>
                <w:highlight w:val="none"/>
              </w:rPr>
              <w:br/>
            </w:r>
            <w:r>
              <w:rPr>
                <w:rStyle w:val="1257"/>
                <w:rFonts w:hint="default"/>
                <w:sz w:val="20"/>
                <w:highlight w:val="none"/>
              </w:rPr>
              <w:t xml:space="preserve">（6）二维码生成工具：需支持生成网站、文字、图片二维码；支持预览二维码，并支持查看二维码扫描效果；支持下载二维码图片保存到本地；</w:t>
            </w:r>
            <w:r>
              <w:rPr>
                <w:rStyle w:val="1257"/>
                <w:rFonts w:hint="default"/>
                <w:sz w:val="20"/>
                <w:highlight w:val="none"/>
              </w:rPr>
              <w:br/>
            </w:r>
            <w:r>
              <w:rPr>
                <w:rStyle w:val="1257"/>
                <w:rFonts w:hint="default"/>
                <w:sz w:val="20"/>
                <w:highlight w:val="none"/>
              </w:rPr>
              <w:t xml:space="preserve">（7）文档编辑器：需支持输入文字，并支持对文字格式、字体颜色、字体大小、段落样式进行调整；</w:t>
            </w:r>
            <w:r>
              <w:rPr>
                <w:rStyle w:val="1257"/>
                <w:rFonts w:hint="default"/>
                <w:sz w:val="20"/>
                <w:highlight w:val="none"/>
              </w:rPr>
              <w:br/>
            </w:r>
            <w:r>
              <w:rPr>
                <w:rStyle w:val="1257"/>
                <w:rFonts w:hint="default"/>
                <w:sz w:val="20"/>
                <w:highlight w:val="none"/>
              </w:rPr>
              <w:t xml:space="preserve">4.活动</w:t>
            </w:r>
            <w:r>
              <w:rPr>
                <w:rStyle w:val="1257"/>
                <w:rFonts w:hint="default"/>
                <w:sz w:val="20"/>
                <w:highlight w:val="none"/>
              </w:rPr>
              <w:br/>
            </w:r>
            <w:r>
              <w:rPr>
                <w:rStyle w:val="1257"/>
                <w:rFonts w:hint="default"/>
                <w:sz w:val="20"/>
                <w:highlight w:val="none"/>
              </w:rPr>
              <w:t xml:space="preserve">（1）需支持学生接收教师发布的各类活动，包含流程图、思维导图、虚拟实验、Python编程、图形化编程等；</w:t>
            </w:r>
            <w:r>
              <w:rPr>
                <w:rStyle w:val="1257"/>
                <w:rFonts w:hint="default"/>
                <w:sz w:val="20"/>
                <w:highlight w:val="none"/>
              </w:rPr>
              <w:br/>
            </w:r>
            <w:r>
              <w:rPr>
                <w:rStyle w:val="1257"/>
                <w:rFonts w:hint="default"/>
                <w:sz w:val="20"/>
                <w:highlight w:val="none"/>
              </w:rPr>
              <w:t xml:space="preserve">（2）需支持学生在接受的活动中进行编辑、操作、提交；</w:t>
            </w:r>
            <w:r>
              <w:rPr>
                <w:rStyle w:val="1257"/>
                <w:rFonts w:hint="default"/>
                <w:sz w:val="20"/>
                <w:highlight w:val="none"/>
              </w:rPr>
              <w:br/>
            </w:r>
            <w:r>
              <w:rPr>
                <w:rStyle w:val="1257"/>
                <w:rFonts w:hint="default"/>
                <w:sz w:val="20"/>
                <w:highlight w:val="none"/>
              </w:rPr>
              <w:t xml:space="preserve">（3）需支持学生在做活动时调用笔记本，并支持上传本地文件，包含但不限于doc、docx、pdf、xls、xlsx、png等文件类型；</w:t>
            </w:r>
            <w:r>
              <w:rPr>
                <w:rStyle w:val="1257"/>
                <w:rFonts w:hint="default"/>
                <w:sz w:val="20"/>
                <w:highlight w:val="none"/>
              </w:rPr>
              <w:br/>
            </w:r>
            <w:r>
              <w:rPr>
                <w:rStyle w:val="1257"/>
                <w:rFonts w:hint="default"/>
                <w:sz w:val="20"/>
                <w:highlight w:val="none"/>
              </w:rPr>
              <w:t xml:space="preserve">（4）需支持学生在教师评价后，在活动历史中查看教师评价的结果。</w:t>
            </w:r>
            <w:r>
              <w:rPr>
                <w:rStyle w:val="1257"/>
                <w:rFonts w:hint="default"/>
                <w:sz w:val="20"/>
                <w:highlight w:val="none"/>
              </w:rPr>
              <w:br/>
            </w:r>
            <w:r>
              <w:rPr>
                <w:rStyle w:val="1257"/>
                <w:rFonts w:hint="default"/>
                <w:sz w:val="20"/>
                <w:highlight w:val="none"/>
              </w:rPr>
              <w:t xml:space="preserve">5.学情</w:t>
            </w:r>
            <w:r>
              <w:rPr>
                <w:rStyle w:val="1257"/>
                <w:rFonts w:hint="default"/>
                <w:sz w:val="20"/>
                <w:highlight w:val="none"/>
              </w:rPr>
              <w:br/>
            </w:r>
            <w:r>
              <w:rPr>
                <w:rStyle w:val="1257"/>
                <w:rFonts w:hint="default"/>
                <w:sz w:val="20"/>
                <w:highlight w:val="none"/>
              </w:rPr>
              <w:t xml:space="preserve">（1）需支持学生查看本人学情数据，包含但不限于实验学习次数、工具应用次数、活动提交次数、活动平均用时数；</w:t>
            </w:r>
            <w:r>
              <w:rPr>
                <w:rStyle w:val="1257"/>
                <w:rFonts w:hint="default"/>
                <w:sz w:val="20"/>
                <w:highlight w:val="none"/>
              </w:rPr>
              <w:br/>
            </w:r>
            <w:r>
              <w:rPr>
                <w:rStyle w:val="1257"/>
                <w:rFonts w:hint="default"/>
                <w:sz w:val="20"/>
                <w:highlight w:val="none"/>
              </w:rPr>
              <w:t xml:space="preserve">（2）需支持学生按照时间维度筛选学情数据，包括上学期、本学期。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综合实践开源硬件（小学）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1、需提供≥6种传感器，包含但不限于土壤温度传感器（≥1个）、土壤湿度传感器（≥1个）、光敏传感器（≥2个）、环境温湿度传感器（≥1个）、颜色传感器（≥1个）、红外传感器（≥1个）；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2、其他组件需包含：AI能力集成板（≥1个）、编码电机（≥2个）、伺服电机（≥1个）、循线板（≥1个）、摄像头（≥1个）、LED灯（≥2个）；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3、AI能力集成板需满足以下要求：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（1）屏幕尺寸：≥2.4寸；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（2）屏幕分辨率≥320*240；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（4）运行内存：≥2GB；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（5）机身存储 ：≥16GB；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（6）电池容量：≥1600mAh</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1、需支持响应平板和电脑完成的编程，支持搭建完成的不同形态硬件响应AI图形化编程和Python编程结果。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2、需支持响应教学平板和电脑的AI能力编程调用，与用户进行交互，展现包含但不限于文字识别、人脸识别、物体识别等人工智能能力；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3、需支持屏幕回显，支持将屏幕回显至平板屏幕进行显示。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信息科技实验箱（小学版）</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1、主机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（1）主机尺寸≥10cm*10cm*4cm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（2）CPU：双核或双核以上处理器</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（3）运行内存RAM：≥512KB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（4）机身存储ROM：≥16MB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（5）LCD：≥1.2寸，像素≥300*170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（6）电量指示灯：≥ 4个；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（7）wifi模块：需支持2.4G Wi-Fi；</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（8）蓝牙模块：需支持BluetoothLE5.0；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（9）电池：≥1500mAh；</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（10）充电接口：Type-C接口≥1个，需支持充电、数据传输；</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（11）扩展接口：4PIN接口≥ 3个，3PIN（舵机）接口≥1个，2PIN（水泵）接口≥1个；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2、温湿度传感器≥ 1个，需支持检测温度范围为0~100℃，湿度范围为10-95%；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3、数字光线传感器≥ 1个，需支持检测范围为0-50k lx；</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4、旋钮电位器 ≥1个，需支持采样值范围为 0 - 4095；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5、红外探测传感器≥2个，需支持探测距离为 0-5cm；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6、麦克风≥ 2个 ，需支持测量范围为 40-120dB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7、RFID读卡器≥1个，需支持探测距离为 5-10mm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8、摄像头≥1个，像素 ≥30万；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9、超声波传感器≥1个，需支持测量范围为 5-200cm ；                                                                                                 10、5路循迹传感器≥1个，需支持采样值范围为 0-4095；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11、喇叭≥1个；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12、RGB灯≥4个；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13、风扇≥1个；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14、编码电机≥2个</w:t>
            </w:r>
            <w:r/>
          </w:p>
        </w:tc>
      </w:tr>
      <w:tr>
        <w:trPr>
          <w:jc w:val="center"/>
          <w:trHeight w:val="1441"/>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人工智能（入门）</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1、课本需经出版社出版发行，具有标准书号；</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2、课本内容需涵盖生活中的人工智能、社会中的人工智能、智能语音技术、智能学伴、智能小助理等；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人工智能（基础）</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1、课本需经出版社出版发行，具有标准书号；</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2、课本内容需涵盖计算机视觉技术、声纹识别与超声避障等；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信息科技实验活动手册（小学）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需提供3-6年级实验活动手册，用以指导学生开展实验活动，实验手册需包含以下内容：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三年级实验主题需包含但不限于身边的数字设备、规范使用数字设备、信息的来源、在线信息的搜索、信息的保存、认识数字身份、即时的交流与分享、设计数字作品、文字资源加工处理、图片资源加工处理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2.四年级实验主题需包含但不限于身边的数据、生活中的编码、编码的规则、像素画、扫描二维码、读取条形码、电报通信、身份证号码校验、双奇偶校验、热力图表示数据等；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五年级实验主题需包含但不限于自然语言描述算法、常用的流程图符号、用分治算法排序、探究递推算法的思想、探究斐波那契数列的算法思想、程序作品界面设计、20以内的加减法、编程验证算法、减法运算小能手、20以内的加法运算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六年级实验主题需包含但不限于自然控制与人为控制、智能音箱、无人驾驶汽车、组装计算机、设计刷卡和人脸识别门禁模拟系统、探究基于逻辑“与”关系的电路控制、探究基于逻辑“或”关系的电路控制、探究基于逻辑“非”关系的电路控制、设计避障机器人、传感器与反馈信息、设计自动感应灯系统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5.每个实验均需包含以下模块：实验目标、实验工具、学习资料、实验过程、实验评价等；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AI教学平板（教师机）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 GHz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2.运行内存：≥4GB；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3.存储容量：≥64GB；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5.电池容量：≥6000mAh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教师机AI教学平板软件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1.提供教师端操控界面，提供授课系统、自由编程系统、成果管理系统；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2.运行内存：≥3GB；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3.存储容量：≥32GB；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5.电池容量：≥5000mAh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1.提供学生操控界面，提供自由编程系统、成果管理系统。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教学机器人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 存储空间：≥2GB RAM，≥16GB ROM；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 摄像头： ≥500万像素；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 显示屏： ≥5.9英寸，LCD屏；屏幕分辨率≥1440*720；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 3200mAh</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 拾音距离：≥2m；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7、具备移动功能；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8、需支持外接传感器及积木件，且需支持接口混插，实现教具间功能互通；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教学机器人软件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 提供用户主动设置WiFi的入口，支持通过WiFi与平板教学软件进行连接；</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 需支持响应平板完成的编程程序在机器人上运行，包含基础能力运行（如：运动、外观、声音、运算等），也包含AI能力运行，其中AI能力需满足：</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（1）需支持响应语音唤醒AI能力调用：支持响应所选择唤醒词，用语音将机器人从待机状态唤醒；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（2）需支持响应语音合成AI能力调用，支持响应选择不同发音人和自主编辑合成的内容，让机器人用对应发音人声音说出对应内容；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（3）需支持响应语音评测AI能力调用：支持响应设定中英文词语或句子，在机器人上实现中英文发音评测，并反馈评测得分；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▲（4）需支持响应机器翻译AI能力调用：支持响应将中文翻译成英文，也支持响应将英文翻译成中文，并将翻译结果显示在屏幕上；</w:t>
            </w:r>
            <w:r>
              <w:rPr>
                <w:rFonts w:hint="eastAsia" w:ascii="宋体" w:hAnsi="宋体" w:cs="宋体"/>
                <w:b/>
                <w:bCs/>
                <w:color w:val="000000"/>
                <w:sz w:val="20"/>
                <w:szCs w:val="20"/>
                <w:highlight w:val="none"/>
              </w:rPr>
              <w:t xml:space="preserve">（需提供功能截图）</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（5）需支持响应声纹识别AI能力调用：支持注册声纹信息，让机器人能够通过声纹识别出用户信息；</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（6）需支持响应语音转写AI能力调用：让机器人能够将语音转化为文字，并显示在屏幕上；</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▲（7）需支持响应文字识别AI能力调用：让机器人能够通过拍照手写体的英文或数字，并识别后转写成印刷体，在屏幕上进行显示；</w:t>
            </w:r>
            <w:r>
              <w:rPr>
                <w:rFonts w:hint="eastAsia" w:ascii="宋体" w:hAnsi="宋体" w:cs="宋体"/>
                <w:b/>
                <w:bCs/>
                <w:color w:val="000000"/>
                <w:sz w:val="20"/>
                <w:szCs w:val="20"/>
                <w:highlight w:val="none"/>
              </w:rPr>
              <w:t xml:space="preserve">（需提供功能截图）</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▲（8）需支持响应人脸识别AI能力调用：支持注册人脸信息，让机器人能够通过人脸识别出用户信息，识别结果可以在屏幕上进行显示；</w:t>
            </w:r>
            <w:r>
              <w:rPr>
                <w:rFonts w:hint="eastAsia" w:ascii="宋体" w:hAnsi="宋体" w:cs="宋体"/>
                <w:b/>
                <w:bCs/>
                <w:color w:val="000000"/>
                <w:sz w:val="20"/>
                <w:szCs w:val="20"/>
                <w:highlight w:val="none"/>
              </w:rPr>
              <w:t xml:space="preserve">（需提供功能截图） </w:t>
            </w:r>
            <w:r>
              <w:rPr>
                <w:rFonts w:hint="eastAsia" w:ascii="宋体" w:hAnsi="宋体" w:cs="宋体"/>
                <w:b/>
                <w:bCs/>
                <w:color w:val="000000"/>
                <w:sz w:val="20"/>
                <w:szCs w:val="20"/>
                <w:highlight w:val="none"/>
              </w:rPr>
              <w:br/>
            </w:r>
            <w:r>
              <w:rPr>
                <w:rFonts w:hint="eastAsia" w:ascii="宋体" w:hAnsi="宋体" w:cs="宋体"/>
                <w:color w:val="000000"/>
                <w:sz w:val="20"/>
                <w:szCs w:val="20"/>
                <w:highlight w:val="none"/>
              </w:rPr>
              <w:t xml:space="preserve">▲（9）需支持响应物体识别AI能力调用：支持机器人利用摄像头，自动识别出现在取景框里的物体名称，识别结果可在屏幕进行显示；</w:t>
            </w:r>
            <w:r>
              <w:rPr>
                <w:rFonts w:hint="eastAsia" w:ascii="宋体" w:hAnsi="宋体" w:cs="宋体"/>
                <w:b/>
                <w:bCs/>
                <w:color w:val="000000"/>
                <w:sz w:val="20"/>
                <w:szCs w:val="20"/>
                <w:highlight w:val="none"/>
              </w:rPr>
              <w:t xml:space="preserve">（需提供功能截图） </w:t>
            </w:r>
            <w:r>
              <w:rPr>
                <w:rFonts w:hint="eastAsia" w:ascii="宋体" w:hAnsi="宋体" w:cs="宋体"/>
                <w:b/>
                <w:bCs/>
                <w:color w:val="000000"/>
                <w:sz w:val="20"/>
                <w:szCs w:val="20"/>
                <w:highlight w:val="none"/>
              </w:rPr>
              <w:br/>
            </w:r>
            <w:r>
              <w:rPr>
                <w:rFonts w:hint="eastAsia" w:ascii="宋体" w:hAnsi="宋体" w:cs="宋体"/>
                <w:color w:val="000000"/>
                <w:sz w:val="20"/>
                <w:szCs w:val="20"/>
                <w:highlight w:val="none"/>
              </w:rPr>
              <w:t xml:space="preserve">（10）需支持响应人机对话AI能力调用：支持响应选择需要的人机对话技能，让机器人与用户能针对不同场景下对话，例如针对教育、生活等不同场景；</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（11）需支持响应AI文本模型分类训练：支持响应自主建立文本分类模型，输入文本数据，训练分类模型，让机器人对输入的文本进行模式识别，识别结果可在屏幕进行显示；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1、循线地图板≥28块：每块尺寸≥230*230*4mm，正面：黑色线条，反面：纯色无线条；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2、长条贴纸≥15张，方格贴纸≥100张：贴纸共四种颜色，每个颜色九张完整纸张。每个颜色包含5排方格贴纸，2排长条贴纸；</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1、以太网接口≥2个；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2、PoE: 802.3bt/at 供电；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3、内置物联网:需内置蓝牙 5.1/RFID/Zigbee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4、本地供电：需支持 54V DC；</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5、物联网扩展：需支持链式物联网扩展能力，最大需支持不少于 8 个 BLE、RFID、ZigBee 等全制式物联网扩展；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6、发射功率(单路最大)：≥20dBm；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7、可调功率粒度：≥1dBm；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8.MTBF：≥850000H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9、整机 802.11ax 最高速率:≥4.5Gbps+2.4Gbps+0.575Gbps/2.4Gbps</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10、每射频最大接入用户数：≥510(整机最大接入用户数 1500；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11、虚拟 AP≥40；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移动充电车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1、支持≥ 50 台及以上配套的平板电脑同时充电；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2、材质：需采用钢板材质，全封闭，安全防盗；</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3、安全要求：电源开关需设有高压强电保护、漏电保护、过载保护；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高阶应用培训服务</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1、需提供线下入校服务（≥2次，每次不超过3天）和线上远程指导；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2、服务对象需包含学校授课教师及人工智能教育教学相关的技术人员；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3、服务内容需包含课程开课计划确定、开课应用保障、观摩课或示范课打磨、赛事服务、重大活动支撑等五类进阶服务：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（1）课程开课计划确定：需包含配合校方规划开课课时及确定开课计划；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（2）开课应用保障：需通过线上&amp;线下跟磨课，辅助老师能够顺利使用平台及教具、进行教学授课；跟进老师课程开展情况，对于老师提出的疑惑及时响应并答疑；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观摩课品示范课打磨：需配合校方打磨一节观摩课或示范课。包括，授课前：协助教师确定课程主题及授课方案、并进行课前课堂准备；授课中：课堂环境保障及听课记录；授课后：课程总结及研讨优化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（4）赛事服务：需包含人工智能赛事信息同步，并提供赛事指导；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（5）重大活动支撑：需配合校方实施参与校级或校级以上重大活动，提供如校园科技节、参观接待等活动中所涉及产品服务的支撑；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环境设计及装修服务</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间</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rPr>
                <w:rFonts w:hint="eastAsia"/>
                <w:highlight w:val="none"/>
                <w:vertAlign w:val="baseline"/>
              </w:rPr>
            </w:pPr>
            <w:r>
              <w:rPr>
                <w:rFonts w:hint="eastAsia"/>
                <w:highlight w:val="none"/>
                <w:vertAlign w:val="baseline"/>
              </w:rPr>
              <w:t xml:space="preserve">根据学校提供的场地，提供环境装修设计及装修服务，具体要求如下:</w:t>
            </w:r>
            <w:r/>
          </w:p>
          <w:p>
            <w:pPr>
              <w:rPr>
                <w:rFonts w:hint="default" w:eastAsiaTheme="minorEastAsia"/>
                <w:highlight w:val="none"/>
                <w:vertAlign w:val="baseline"/>
                <w:lang w:val="en-US" w:eastAsia="zh-CN"/>
              </w:rPr>
            </w:pPr>
            <w:r>
              <w:rPr>
                <w:rFonts w:hint="eastAsia"/>
                <w:highlight w:val="none"/>
                <w:vertAlign w:val="baseline"/>
                <w:lang w:val="en-US" w:eastAsia="zh-CN"/>
              </w:rPr>
              <w:t xml:space="preserve">一、家具要求：</w:t>
            </w:r>
            <w:r/>
          </w:p>
          <w:p>
            <w:pPr>
              <w:numPr>
                <w:ilvl w:val="0"/>
                <w:numId w:val="8"/>
              </w:numPr>
              <w:rPr>
                <w:rFonts w:hint="eastAsia"/>
                <w:highlight w:val="none"/>
                <w:vertAlign w:val="baseline"/>
                <w:lang w:val="en-US" w:eastAsia="zh-CN"/>
              </w:rPr>
            </w:pPr>
            <w:r>
              <w:rPr>
                <w:rFonts w:hint="eastAsia"/>
                <w:highlight w:val="none"/>
                <w:vertAlign w:val="baseline"/>
                <w:lang w:val="en-US" w:eastAsia="zh-CN"/>
              </w:rPr>
              <w:t xml:space="preserve">装修设计:根据场地特点、功能需求，提供资料理、策划创意、初步设计、深化设计、平面图设计、效果图设计、CAD 施工图设计等。</w:t>
            </w:r>
            <w:r/>
          </w:p>
          <w:p>
            <w:pPr>
              <w:numPr>
                <w:ilvl w:val="0"/>
                <w:numId w:val="8"/>
              </w:numPr>
              <w:rPr>
                <w:rFonts w:hint="eastAsia"/>
                <w:highlight w:val="none"/>
                <w:vertAlign w:val="baseline"/>
                <w:lang w:val="en-US" w:eastAsia="zh-CN"/>
              </w:rPr>
            </w:pPr>
            <w:r>
              <w:rPr>
                <w:rFonts w:hint="eastAsia"/>
                <w:highlight w:val="none"/>
                <w:vertAlign w:val="baseline"/>
                <w:lang w:val="en-US" w:eastAsia="zh-CN"/>
              </w:rPr>
              <w:t xml:space="preserve">AI教室内须配备教室讲台、课桌（六边形）、学生课凳，具体要求如下:学生课桌:8张，规格:台面尺寸:直径1200mm六边形桌面，桌身为E1级环保型  。学生课凳：48张，结构坚固，耐磨损。讲台：1张，规格：1100mm*650mm*92mm,台面要求:防划痕面板，防静电。台体外形美观、结构牢固，经久耐用。教师讲台:1张，尺寸:(长)1100mm*(宽)650*(高)920mm，台面采用 9mm 厚度防划痕面扳，防静电。</w:t>
            </w:r>
            <w:r/>
          </w:p>
          <w:p>
            <w:pPr>
              <w:numPr>
                <w:ilvl w:val="0"/>
                <w:numId w:val="0"/>
              </w:numPr>
              <w:rPr>
                <w:rFonts w:hint="default"/>
                <w:highlight w:val="none"/>
                <w:vertAlign w:val="baseline"/>
                <w:lang w:val="en-US" w:eastAsia="zh-CN"/>
              </w:rPr>
            </w:pPr>
            <w:r>
              <w:rPr>
                <w:rFonts w:hint="eastAsia"/>
                <w:highlight w:val="none"/>
                <w:vertAlign w:val="baseline"/>
                <w:lang w:val="en-US" w:eastAsia="zh-CN"/>
              </w:rPr>
              <w:t xml:space="preserve">二、装修要求：</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拆除：灯具，踢脚线拆除；</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矿棉板吊顶：600*600吸音矿棉板含吊筋 基数乘1.05（含损耗）；</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地胶：防静电，凹凸乱反射型地胶 基数乘1.05（含损耗）；</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大理石窗台：大理石窗台(白色人造石厚度不低于1.2CM)；</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踢脚线：铝合金踢脚线（铝合金厚度要求2MM以上）；</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室内电路改造：室内电路改造（插座 照明 空调等）；</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墙面乳胶漆：立邦腻子 立邦净味120乳胶漆2遍；</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灯具及开关面板：灯具及开关面板 （ 灯带 LED防爆教室灯）；</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窗帘：棉麻材质，要求厚重 遮光；</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广告文宣：AI教室特色标语、发光文字；</w:t>
            </w:r>
            <w:r/>
          </w:p>
          <w:p>
            <w:pPr>
              <w:numPr>
                <w:ilvl w:val="0"/>
                <w:numId w:val="0"/>
              </w:numPr>
              <w:rPr>
                <w:rFonts w:hint="default"/>
                <w:highlight w:val="none"/>
                <w:vertAlign w:val="baseline"/>
                <w:lang w:val="en-US" w:eastAsia="zh-CN"/>
              </w:rPr>
            </w:pPr>
            <w:r>
              <w:rPr>
                <w:rFonts w:hint="eastAsia"/>
                <w:highlight w:val="none"/>
                <w:vertAlign w:val="baseline"/>
                <w:lang w:val="en-US" w:eastAsia="zh-CN"/>
              </w:rPr>
              <w:t xml:space="preserve">灯带：科技元素灯带；</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材料上楼及运输费：材料上楼及运输费；</w:t>
            </w:r>
            <w:r/>
          </w:p>
          <w:p>
            <w:pPr>
              <w:pStyle w:val="947"/>
              <w:numPr>
                <w:ilvl w:val="0"/>
                <w:numId w:val="0"/>
              </w:numPr>
              <w:rPr>
                <w:rFonts w:hint="default"/>
                <w:highlight w:val="none"/>
                <w:lang w:val="en-US" w:eastAsia="zh-CN"/>
              </w:rPr>
            </w:pPr>
            <w:r>
              <w:rPr>
                <w:rFonts w:hint="eastAsia"/>
                <w:highlight w:val="none"/>
                <w:vertAlign w:val="baseline"/>
                <w:lang w:val="en-US" w:eastAsia="zh-CN"/>
              </w:rPr>
              <w:t xml:space="preserve">室内保洁：装修垃圾处理，卫生保洁等；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初中人工智能实验室</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人工智能教学应用系统</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一、课程中心管理：需具有资源上传、资源下载、资源预览、资源检索功能：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1、资源上传：需支持文档类文件、图片类文件、视频类文件的上传与播放浏览；</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2、资源下载：需支持下载单个资源到本地和打包下载一节课下的所有资源（除视频）到本地；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3、资源预览：需支持文档类文件与视频类文件的在线预览与播放；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4、资源检索：需支持通过关键词检索资源。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二、 A I 编程至少提供图形化、 Python 编程界面，需支持师生根据需要选择编程方式，进行拼接、移动、组合完成编程作品。同时支持将编 程好的成果发送给机器设备软件接收并运行。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1、编程能力需包括基础能力（运动、外观、声音、运算、变量、流程等）和 AI 能力（文字识别、人脸识别、物体识别、机器 翻译、人机对话等人工智能能力）供编程调用；</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2、具有编程成果管理系统，需支持将编程成果进行分类存储保存在云端；支持对编程成果重新命名、保存、删除、复制、分享；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3、具有编程样例，需支持在线编辑、修改并保存到自己的成果中，供老师参考教学。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三、项目设计管理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2、项目修改：平台需支持教师端使用模板创建项目，重新选择适用年级、关联课程、可使用的编程硬件、需要关联的实验等信息；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3、项目发布：平台需支持快速发布项目、创建项目小组、查看项目详情；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4、项目查看：平台需支持教师查看班级中小组参与项目的完成度；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5、评价与反思: 平台需支持教师查看项目及评价情况，支持学生查看项目情况与即时评价与反思。</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四、师训中心管理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1、师训课程资源：提供人工智能师训课程，课程以视频形式呈现。课程主题需包含机器学习、深度学习、语音合成、语音识别、声纹识别、语音评测、文字识别、人脸识别。</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2、课程筛选：平台需提供师训课程筛选服务，可根据学段、分类等信息进行筛选。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3、课程推荐：需提供师训课程浏览和推荐服务。未完成的课程可先收藏后继续学习。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五、 AI 讲堂管理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1、资源类型：包含但不限于 AI 技术探究、AI应用学习、AI前沿发展；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2、资源领域：≥12 种，包含但不限于大数据、机器视觉、开发技术、智能硬件、人机交互、语音转写、 AI 体育、 AI 游戏、 AI 生活、 AI 医疗、 AI 人才、 AI 教育；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3、资源难度：需支持按初级、中级、高级三个难度等级进行筛选；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4、资源查询：提供 AI 讲堂资源查询服务，支持用户登录平台后根据关键词（如：语音唤醒、语音转写、声纹识别、机器翻译等）进行课 程查询；</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5、资源评论：需提供资源评论服务，在每节资源下方设置评论模块，支持用户发表文字评论；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6、资源推荐：需提供推荐服务，支持根据用户学习内容推荐相关资源；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六、 AI 班级管理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需支持按班级名称、班级 ID 以及创建时间实施教师创建、加入管理 AI 班级，可查看学生成果数量，管理班级中的其他教师和学生。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七、信息统计：需支持对累计备授课数、线上培训、学生人数、学生成果等多维度数据进行实时统计展示。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人工智能主题课程-初中</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1、需提供初中阶段≥38课时人工智能主题相关的教学资源，包含但不限于：教学设计、课件、视频、学习单、教师手册等；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课程配套的验证实验≥8个，支持师生通过简单的数据输入、参数修改等方式，辅助理解人工智能相关原理，以可视化交互形式展示，内容包括但不限于：大数据应用、机器学习、语音转换、语音分类、图像分类应用、人脸识别、机器识别、认识图像等；</w:t>
            </w:r>
            <w:r>
              <w:rPr>
                <w:rFonts w:hint="eastAsia" w:ascii="宋体" w:hAnsi="宋体" w:cs="宋体"/>
                <w:b/>
                <w:bCs/>
                <w:color w:val="000000"/>
                <w:sz w:val="20"/>
                <w:szCs w:val="20"/>
                <w:highlight w:val="none"/>
              </w:rPr>
              <w:t xml:space="preserve">（需提供功能截图）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信息科技实验活动软件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Style w:val="1256"/>
                <w:rFonts w:hint="default"/>
                <w:highlight w:val="none"/>
              </w:rPr>
              <w:t xml:space="preserve">一、教师端</w:t>
            </w:r>
            <w:r>
              <w:rPr>
                <w:rStyle w:val="1256"/>
                <w:rFonts w:hint="default"/>
                <w:highlight w:val="none"/>
              </w:rPr>
              <w:br/>
            </w:r>
            <w:r>
              <w:rPr>
                <w:rStyle w:val="1256"/>
                <w:rFonts w:hint="default"/>
                <w:highlight w:val="none"/>
              </w:rPr>
              <w:t xml:space="preserve">教师端需提供班级管理、手册、实验、工具、活动、学情等功能模块，具体功能要求如下：</w:t>
            </w:r>
            <w:r>
              <w:rPr>
                <w:rStyle w:val="1256"/>
                <w:rFonts w:hint="default"/>
                <w:highlight w:val="none"/>
              </w:rPr>
              <w:br/>
            </w:r>
            <w:r>
              <w:rPr>
                <w:rStyle w:val="1256"/>
                <w:rFonts w:hint="default"/>
                <w:highlight w:val="none"/>
              </w:rPr>
              <w:t xml:space="preserve">1.班级管理</w:t>
            </w:r>
            <w:r>
              <w:rPr>
                <w:rStyle w:val="1256"/>
                <w:rFonts w:hint="default"/>
                <w:highlight w:val="none"/>
              </w:rPr>
              <w:br/>
            </w:r>
            <w:r>
              <w:rPr>
                <w:rStyle w:val="1256"/>
                <w:rFonts w:hint="default"/>
                <w:highlight w:val="none"/>
              </w:rPr>
              <w:t xml:space="preserve">（1）需支持教师获取所授班级，按照班级获取学生名单；</w:t>
            </w:r>
            <w:r>
              <w:rPr>
                <w:rStyle w:val="1256"/>
                <w:rFonts w:hint="default"/>
                <w:highlight w:val="none"/>
              </w:rPr>
              <w:br/>
            </w:r>
            <w:r>
              <w:rPr>
                <w:rStyle w:val="1256"/>
                <w:rFonts w:hint="default"/>
                <w:highlight w:val="none"/>
              </w:rPr>
              <w:t xml:space="preserve">（2）需支持查看各学生姓名、账号等信息；</w:t>
            </w:r>
            <w:r>
              <w:rPr>
                <w:rStyle w:val="1256"/>
                <w:rFonts w:hint="default"/>
                <w:highlight w:val="none"/>
              </w:rPr>
              <w:br/>
            </w:r>
            <w:r>
              <w:rPr>
                <w:rStyle w:val="1256"/>
                <w:rFonts w:hint="default"/>
                <w:highlight w:val="none"/>
              </w:rPr>
              <w:t xml:space="preserve">2.手册</w:t>
            </w:r>
            <w:r>
              <w:rPr>
                <w:rStyle w:val="1256"/>
                <w:rFonts w:hint="default"/>
                <w:highlight w:val="none"/>
              </w:rPr>
              <w:br/>
            </w:r>
            <w:r>
              <w:rPr>
                <w:rStyle w:val="1256"/>
                <w:rFonts w:hint="default"/>
                <w:highlight w:val="none"/>
              </w:rPr>
              <w:t xml:space="preserve">（1）需支持教师在资源授权后，查看不同年级数字实验手册；</w:t>
            </w:r>
            <w:r>
              <w:rPr>
                <w:rStyle w:val="1256"/>
                <w:rFonts w:hint="default"/>
                <w:highlight w:val="none"/>
              </w:rPr>
              <w:br/>
            </w:r>
            <w:r>
              <w:rPr>
                <w:rStyle w:val="1256"/>
                <w:rFonts w:hint="default"/>
                <w:highlight w:val="none"/>
              </w:rPr>
              <w:t xml:space="preserve">（2）需支持教师对数字实验手册内容进行备注，提供画笔功能，支持教师进行圈画批注操作；</w:t>
            </w:r>
            <w:r>
              <w:rPr>
                <w:rStyle w:val="1256"/>
                <w:rFonts w:hint="default"/>
                <w:highlight w:val="none"/>
              </w:rPr>
              <w:br/>
            </w:r>
            <w:r>
              <w:rPr>
                <w:rStyle w:val="1256"/>
                <w:rFonts w:hint="default"/>
                <w:highlight w:val="none"/>
              </w:rPr>
              <w:t xml:space="preserve">（3）需支持手册嵌入学科工具、实验程序，支持教师在数字实验手册中直接打开预览和体验操作；</w:t>
            </w:r>
            <w:r>
              <w:rPr>
                <w:rStyle w:val="1256"/>
                <w:rFonts w:hint="default"/>
                <w:highlight w:val="none"/>
              </w:rPr>
              <w:br/>
            </w:r>
            <w:r>
              <w:rPr>
                <w:rStyle w:val="1256"/>
                <w:rFonts w:hint="default"/>
                <w:highlight w:val="none"/>
              </w:rPr>
              <w:t xml:space="preserve">（4）需支持展示数字实验手册的基本介绍与交互使用说明；</w:t>
            </w:r>
            <w:r>
              <w:rPr>
                <w:rStyle w:val="1256"/>
                <w:rFonts w:hint="default"/>
                <w:highlight w:val="none"/>
              </w:rPr>
              <w:br/>
            </w:r>
            <w:r>
              <w:rPr>
                <w:rStyle w:val="1256"/>
                <w:rFonts w:hint="default"/>
                <w:highlight w:val="none"/>
              </w:rPr>
              <w:t xml:space="preserve">3.实验</w:t>
            </w:r>
            <w:r>
              <w:rPr>
                <w:rStyle w:val="1256"/>
                <w:rFonts w:hint="default"/>
                <w:highlight w:val="none"/>
              </w:rPr>
              <w:br/>
            </w:r>
            <w:r>
              <w:rPr>
                <w:rStyle w:val="1256"/>
                <w:rFonts w:hint="default"/>
                <w:highlight w:val="none"/>
              </w:rPr>
              <w:t xml:space="preserve">（1）需支持展示所有实验资源，包括虚拟实验、硬件实验、工具实验，便于教师开展实验活动；</w:t>
            </w:r>
            <w:r>
              <w:rPr>
                <w:rStyle w:val="1256"/>
                <w:rFonts w:hint="default"/>
                <w:highlight w:val="none"/>
              </w:rPr>
              <w:br/>
            </w:r>
            <w:r>
              <w:rPr>
                <w:rStyle w:val="1256"/>
                <w:rFonts w:hint="default"/>
                <w:highlight w:val="none"/>
              </w:rPr>
              <w:t xml:space="preserve">（2）虚拟实验、硬件实验需支持教师直接在实验中心中打开体验实验资源；</w:t>
            </w:r>
            <w:r>
              <w:rPr>
                <w:rStyle w:val="1256"/>
                <w:rFonts w:hint="default"/>
                <w:highlight w:val="none"/>
              </w:rPr>
              <w:br/>
            </w:r>
            <w:r>
              <w:rPr>
                <w:rStyle w:val="1256"/>
                <w:rFonts w:hint="default"/>
                <w:highlight w:val="none"/>
              </w:rPr>
              <w:t xml:space="preserve">4.工具</w:t>
            </w:r>
            <w:r>
              <w:rPr>
                <w:rStyle w:val="1256"/>
                <w:rFonts w:hint="default"/>
                <w:highlight w:val="none"/>
              </w:rPr>
              <w:br/>
            </w:r>
            <w:r>
              <w:rPr>
                <w:rStyle w:val="1256"/>
                <w:rFonts w:hint="default"/>
                <w:highlight w:val="none"/>
              </w:rPr>
              <w:t xml:space="preserve">（1）需提供图形化编程、Python编程、流程图、思维导图、二维码生成工具、文档编辑器等工具，需支持教师用户在应用工具、活动详情中调用以上学科工具；</w:t>
            </w:r>
            <w:r>
              <w:rPr>
                <w:rStyle w:val="1256"/>
                <w:rFonts w:hint="default"/>
                <w:highlight w:val="none"/>
              </w:rPr>
              <w:br/>
            </w:r>
            <w:r>
              <w:rPr>
                <w:rStyle w:val="1256"/>
                <w:rFonts w:hint="default"/>
                <w:highlight w:val="none"/>
              </w:rPr>
              <w:t xml:space="preserve">（2）图形化编程工具：</w:t>
            </w:r>
            <w:r>
              <w:rPr>
                <w:rStyle w:val="1256"/>
                <w:rFonts w:hint="default"/>
                <w:highlight w:val="none"/>
              </w:rPr>
              <w:br/>
            </w:r>
            <w:r>
              <w:rPr>
                <w:rStyle w:val="1256"/>
                <w:rFonts w:hint="default"/>
                <w:highlight w:val="none"/>
              </w:rPr>
              <w:t xml:space="preserve">需支持不少于16类编程积木，包含但不限于输入、传感器、执行器、音频、广播、循环、逻辑、数学、文本、变量、引脚、物联网、函数、列表、元组，支持添加AI类能力，包括AI摄像头，AI摄像头支持人脸识别、物体识别、自学习分类等。</w:t>
            </w:r>
            <w:r>
              <w:rPr>
                <w:rStyle w:val="1256"/>
                <w:rFonts w:hint="default"/>
                <w:highlight w:val="none"/>
              </w:rPr>
              <w:br/>
            </w:r>
            <w:r>
              <w:rPr>
                <w:rStyle w:val="1256"/>
                <w:rFonts w:hint="default"/>
                <w:highlight w:val="none"/>
              </w:rPr>
              <w:t xml:space="preserve">（3）Python编程工具：需支持在线编写python代码，支持在线运行，支持打开和保存用户个人的成果；</w:t>
            </w:r>
            <w:r>
              <w:rPr>
                <w:rStyle w:val="1256"/>
                <w:rFonts w:hint="default"/>
                <w:highlight w:val="none"/>
              </w:rPr>
              <w:br/>
            </w:r>
            <w:r>
              <w:rPr>
                <w:rStyle w:val="1256"/>
                <w:rFonts w:hint="default"/>
                <w:highlight w:val="none"/>
              </w:rPr>
              <w:t xml:space="preserve">（4）流程图工具：需支持绘制流程图元素及连接线，元素包含开始框、处理框、判断框、输入框，并支持对绘制区域放大、缩小、平移；</w:t>
            </w:r>
            <w:r>
              <w:rPr>
                <w:rStyle w:val="1256"/>
                <w:rFonts w:hint="default"/>
                <w:highlight w:val="none"/>
              </w:rPr>
              <w:br/>
            </w:r>
            <w:r>
              <w:rPr>
                <w:rStyle w:val="1256"/>
                <w:rFonts w:hint="default"/>
                <w:highlight w:val="none"/>
              </w:rPr>
              <w:t xml:space="preserve">（5）思维导图工具：需支持绘制思维导图，支持编辑中心主题，支持增删改分支主题，并支持修改导图文本格式，包含但不限于字号设置、字体颜色设置等；</w:t>
            </w:r>
            <w:r>
              <w:rPr>
                <w:rStyle w:val="1256"/>
                <w:rFonts w:hint="default"/>
                <w:highlight w:val="none"/>
              </w:rPr>
              <w:br/>
            </w:r>
            <w:r>
              <w:rPr>
                <w:rStyle w:val="1256"/>
                <w:rFonts w:hint="default"/>
                <w:highlight w:val="none"/>
              </w:rPr>
              <w:t xml:space="preserve">（6）二维码生成工具：需支持生成网站、文字、图片二维码；支持预览二维码，并支持查看二维码扫描效果；支持下载二维码图片保存到本地；</w:t>
            </w:r>
            <w:r>
              <w:rPr>
                <w:rStyle w:val="1256"/>
                <w:rFonts w:hint="default"/>
                <w:highlight w:val="none"/>
              </w:rPr>
              <w:br/>
            </w:r>
            <w:r>
              <w:rPr>
                <w:rStyle w:val="1256"/>
                <w:rFonts w:hint="default"/>
                <w:highlight w:val="none"/>
              </w:rPr>
              <w:t xml:space="preserve">（7）文档编辑器：需支持输入文字，并支持对文字格式、字体颜色、字体大小、段落样式进行调整；</w:t>
            </w:r>
            <w:r>
              <w:rPr>
                <w:rStyle w:val="1256"/>
                <w:rFonts w:hint="default"/>
                <w:highlight w:val="none"/>
              </w:rPr>
              <w:br/>
            </w:r>
            <w:r>
              <w:rPr>
                <w:rStyle w:val="1256"/>
                <w:rFonts w:hint="default"/>
                <w:highlight w:val="none"/>
              </w:rPr>
              <w:t xml:space="preserve">5.活动</w:t>
            </w:r>
            <w:r>
              <w:rPr>
                <w:rStyle w:val="1256"/>
                <w:rFonts w:hint="default"/>
                <w:highlight w:val="none"/>
              </w:rPr>
              <w:br/>
            </w:r>
            <w:r>
              <w:rPr>
                <w:rStyle w:val="1256"/>
                <w:rFonts w:hint="default"/>
                <w:highlight w:val="none"/>
              </w:rPr>
              <w:t xml:space="preserve">（1）需支持教师创建并发布活动，发布活动支持关联班级，并能按照时间轴查看发布历史；</w:t>
            </w:r>
            <w:r>
              <w:rPr>
                <w:rStyle w:val="1256"/>
                <w:rFonts w:hint="default"/>
                <w:highlight w:val="none"/>
              </w:rPr>
              <w:br/>
            </w:r>
            <w:r>
              <w:rPr>
                <w:rStyle w:val="1256"/>
                <w:rFonts w:hint="default"/>
                <w:highlight w:val="none"/>
              </w:rPr>
              <w:t xml:space="preserve">（2）需支持教师查看已发送的活动和学生提交的活动成果，教师于课前中后将活动发送至指定班级，均可于此查看学生的活动完成情况接收学生活动成果；</w:t>
            </w:r>
            <w:r>
              <w:rPr>
                <w:rStyle w:val="1256"/>
                <w:rFonts w:hint="default"/>
                <w:highlight w:val="none"/>
              </w:rPr>
              <w:br/>
            </w:r>
            <w:r>
              <w:rPr>
                <w:rStyle w:val="1256"/>
                <w:rFonts w:hint="default"/>
                <w:highlight w:val="none"/>
              </w:rPr>
              <w:t xml:space="preserve">（3）需支持教师针对已提交的学生活动开展评价、点评，评价维度包含但不限于学习态度、任务达成、创新意识等。</w:t>
            </w:r>
            <w:r>
              <w:rPr>
                <w:rStyle w:val="1256"/>
                <w:rFonts w:hint="default"/>
                <w:highlight w:val="none"/>
              </w:rPr>
              <w:br/>
            </w:r>
            <w:r>
              <w:rPr>
                <w:rStyle w:val="1256"/>
                <w:rFonts w:hint="default"/>
                <w:highlight w:val="none"/>
              </w:rPr>
              <w:t xml:space="preserve">6.学情</w:t>
            </w:r>
            <w:r>
              <w:rPr>
                <w:rStyle w:val="1256"/>
                <w:rFonts w:hint="default"/>
                <w:highlight w:val="none"/>
              </w:rPr>
              <w:br/>
            </w:r>
            <w:r>
              <w:rPr>
                <w:rStyle w:val="1256"/>
                <w:rFonts w:hint="default"/>
                <w:highlight w:val="none"/>
              </w:rPr>
              <w:t xml:space="preserve">（1）需支持展示全班以及学生个人的多维度的学习数据；</w:t>
            </w:r>
            <w:r>
              <w:rPr>
                <w:rStyle w:val="1256"/>
                <w:rFonts w:hint="default"/>
                <w:highlight w:val="none"/>
              </w:rPr>
              <w:br/>
            </w:r>
            <w:r>
              <w:rPr>
                <w:rStyle w:val="1256"/>
                <w:rFonts w:hint="default"/>
                <w:highlight w:val="none"/>
              </w:rPr>
              <w:t xml:space="preserve">（2）需支持教师查看班级总览数据，包含但不限于实验学习次数、工具应用次数、活动提交次数等。</w:t>
            </w:r>
            <w:r>
              <w:rPr>
                <w:rStyle w:val="1256"/>
                <w:rFonts w:hint="default"/>
                <w:highlight w:val="none"/>
              </w:rPr>
              <w:br/>
            </w:r>
            <w:r>
              <w:rPr>
                <w:rStyle w:val="1256"/>
                <w:rFonts w:hint="default"/>
                <w:highlight w:val="none"/>
              </w:rPr>
              <w:t xml:space="preserve">（3）需支持教师查看班级内任意一位学生的个人数据，包含但不限于活动提交次</w:t>
            </w:r>
            <w:r>
              <w:rPr>
                <w:rStyle w:val="1256"/>
                <w:rFonts w:hint="default"/>
                <w:color w:val="auto"/>
                <w:highlight w:val="none"/>
              </w:rPr>
              <w:t xml:space="preserve">数、活动评价用时、优秀活动数、实验学习次数等；</w:t>
            </w:r>
            <w:r>
              <w:rPr>
                <w:rStyle w:val="1256"/>
                <w:rFonts w:hint="default"/>
                <w:color w:val="auto"/>
                <w:highlight w:val="none"/>
              </w:rPr>
              <w:br/>
            </w:r>
            <w:r>
              <w:rPr>
                <w:rFonts w:hint="eastAsia" w:ascii="宋体" w:hAnsi="宋体" w:cs="宋体"/>
                <w:sz w:val="20"/>
                <w:szCs w:val="12"/>
                <w:highlight w:val="none"/>
              </w:rPr>
              <w:t xml:space="preserve">（4）需支持管理员查看全校概览数据，包括但不限于覆盖班级数、覆盖教师数、覆盖学生数、实验学习次数、工具应用次数；</w:t>
            </w:r>
            <w:r>
              <w:rPr>
                <w:rFonts w:hint="eastAsia" w:ascii="宋体" w:hAnsi="宋体" w:cs="宋体"/>
                <w:sz w:val="20"/>
                <w:szCs w:val="12"/>
                <w:highlight w:val="none"/>
              </w:rPr>
              <w:br/>
            </w:r>
            <w:r>
              <w:rPr>
                <w:rFonts w:hint="eastAsia" w:ascii="宋体" w:hAnsi="宋体" w:cs="宋体"/>
                <w:sz w:val="20"/>
                <w:szCs w:val="12"/>
                <w:highlight w:val="none"/>
              </w:rPr>
              <w:t xml:space="preserve">（5）需支持按照时间维度进行筛选，包含但不限于近7天、近30天、上学期、本学期等。</w:t>
            </w:r>
            <w:r>
              <w:rPr>
                <w:rStyle w:val="1257"/>
                <w:rFonts w:hint="default"/>
                <w:color w:val="auto"/>
                <w:sz w:val="20"/>
                <w:highlight w:val="none"/>
              </w:rPr>
              <w:br/>
            </w:r>
            <w:r>
              <w:rPr>
                <w:rStyle w:val="1257"/>
                <w:rFonts w:hint="default"/>
                <w:color w:val="auto"/>
                <w:sz w:val="20"/>
                <w:highlight w:val="none"/>
              </w:rPr>
              <w:t xml:space="preserve">二、学生端</w:t>
            </w:r>
            <w:r>
              <w:rPr>
                <w:rStyle w:val="1257"/>
                <w:rFonts w:hint="default"/>
                <w:color w:val="auto"/>
                <w:sz w:val="20"/>
                <w:highlight w:val="none"/>
              </w:rPr>
              <w:br/>
            </w:r>
            <w:r>
              <w:rPr>
                <w:rStyle w:val="1257"/>
                <w:rFonts w:hint="default"/>
                <w:sz w:val="20"/>
                <w:highlight w:val="none"/>
              </w:rPr>
              <w:t xml:space="preserve">学生端需提供手册、实验、工具、活动、学情等功能模块，具体功能要求如下：</w:t>
            </w:r>
            <w:r>
              <w:rPr>
                <w:rStyle w:val="1257"/>
                <w:rFonts w:hint="default"/>
                <w:sz w:val="20"/>
                <w:highlight w:val="none"/>
              </w:rPr>
              <w:br/>
            </w:r>
            <w:r>
              <w:rPr>
                <w:rStyle w:val="1257"/>
                <w:rFonts w:hint="default"/>
                <w:sz w:val="20"/>
                <w:highlight w:val="none"/>
              </w:rPr>
              <w:t xml:space="preserve">1. 手册</w:t>
            </w:r>
            <w:r>
              <w:rPr>
                <w:rStyle w:val="1257"/>
                <w:rFonts w:hint="default"/>
                <w:sz w:val="20"/>
                <w:highlight w:val="none"/>
              </w:rPr>
              <w:br/>
            </w:r>
            <w:r>
              <w:rPr>
                <w:rStyle w:val="1257"/>
                <w:rFonts w:hint="default"/>
                <w:sz w:val="20"/>
                <w:highlight w:val="none"/>
              </w:rPr>
              <w:t xml:space="preserve">（1）需支持学生在资源授权后，查看不同年级数字实验手册；</w:t>
            </w:r>
            <w:r>
              <w:rPr>
                <w:rStyle w:val="1257"/>
                <w:rFonts w:hint="default"/>
                <w:sz w:val="20"/>
                <w:highlight w:val="none"/>
              </w:rPr>
              <w:br/>
            </w:r>
            <w:r>
              <w:rPr>
                <w:rStyle w:val="1257"/>
                <w:rFonts w:hint="default"/>
                <w:sz w:val="20"/>
                <w:highlight w:val="none"/>
              </w:rPr>
              <w:t xml:space="preserve">（2）需支持学生对数字实验手册内容进行备注，提供画笔功能，支持学生进行圈画批注操作；</w:t>
            </w:r>
            <w:r>
              <w:rPr>
                <w:rStyle w:val="1257"/>
                <w:rFonts w:hint="default"/>
                <w:sz w:val="20"/>
                <w:highlight w:val="none"/>
              </w:rPr>
              <w:br/>
            </w:r>
            <w:r>
              <w:rPr>
                <w:rStyle w:val="1257"/>
                <w:rFonts w:hint="default"/>
                <w:sz w:val="20"/>
                <w:highlight w:val="none"/>
              </w:rPr>
              <w:t xml:space="preserve">（3）需支持手册嵌入学科工具、实验程序，支持学生在数字实验手册中直接打开预览和体验操作；</w:t>
            </w:r>
            <w:r>
              <w:rPr>
                <w:rStyle w:val="1257"/>
                <w:rFonts w:hint="default"/>
                <w:sz w:val="20"/>
                <w:highlight w:val="none"/>
              </w:rPr>
              <w:br/>
            </w:r>
            <w:r>
              <w:rPr>
                <w:rStyle w:val="1257"/>
                <w:rFonts w:hint="default"/>
                <w:sz w:val="20"/>
                <w:highlight w:val="none"/>
              </w:rPr>
              <w:t xml:space="preserve">（4）需支持展示数字实验手册的基本介绍与交互使用说明；</w:t>
            </w:r>
            <w:r>
              <w:rPr>
                <w:rStyle w:val="1257"/>
                <w:rFonts w:hint="default"/>
                <w:sz w:val="20"/>
                <w:highlight w:val="none"/>
              </w:rPr>
              <w:br/>
            </w:r>
            <w:r>
              <w:rPr>
                <w:rStyle w:val="1257"/>
                <w:rFonts w:hint="default"/>
                <w:sz w:val="20"/>
                <w:highlight w:val="none"/>
              </w:rPr>
              <w:t xml:space="preserve">（5）数字实验手册需支持提供快捷翻页、跳转功能；</w:t>
            </w:r>
            <w:r>
              <w:rPr>
                <w:rStyle w:val="1257"/>
                <w:rFonts w:hint="default"/>
                <w:sz w:val="20"/>
                <w:highlight w:val="none"/>
              </w:rPr>
              <w:br/>
            </w:r>
            <w:r>
              <w:rPr>
                <w:rStyle w:val="1257"/>
                <w:rFonts w:hint="default"/>
                <w:sz w:val="20"/>
                <w:highlight w:val="none"/>
              </w:rPr>
              <w:t xml:space="preserve">2.实验</w:t>
            </w:r>
            <w:r>
              <w:rPr>
                <w:rStyle w:val="1257"/>
                <w:rFonts w:hint="default"/>
                <w:sz w:val="20"/>
                <w:highlight w:val="none"/>
              </w:rPr>
              <w:br/>
            </w:r>
            <w:r>
              <w:rPr>
                <w:rStyle w:val="1257"/>
                <w:rFonts w:hint="default"/>
                <w:sz w:val="20"/>
                <w:highlight w:val="none"/>
              </w:rPr>
              <w:t xml:space="preserve">（1）需支持展示所有实验资源，包括虚拟实验、硬件实验、工具实验，便于开展实验活动；</w:t>
            </w:r>
            <w:r>
              <w:rPr>
                <w:rStyle w:val="1257"/>
                <w:rFonts w:hint="default"/>
                <w:sz w:val="20"/>
                <w:highlight w:val="none"/>
              </w:rPr>
              <w:br/>
            </w:r>
            <w:r>
              <w:rPr>
                <w:rStyle w:val="1257"/>
                <w:rFonts w:hint="default"/>
                <w:sz w:val="20"/>
                <w:highlight w:val="none"/>
              </w:rPr>
              <w:t xml:space="preserve">（2）虚拟实验、硬件实验需支持学生直接在实验中心中打开体验实验资源；</w:t>
            </w:r>
            <w:r>
              <w:rPr>
                <w:rStyle w:val="1257"/>
                <w:rFonts w:hint="default"/>
                <w:sz w:val="20"/>
                <w:highlight w:val="none"/>
              </w:rPr>
              <w:br/>
            </w:r>
            <w:r>
              <w:rPr>
                <w:rStyle w:val="1257"/>
                <w:rFonts w:hint="default"/>
                <w:sz w:val="20"/>
                <w:highlight w:val="none"/>
              </w:rPr>
              <w:t xml:space="preserve">3.工具</w:t>
            </w:r>
            <w:r>
              <w:rPr>
                <w:rStyle w:val="1257"/>
                <w:rFonts w:hint="default"/>
                <w:sz w:val="20"/>
                <w:highlight w:val="none"/>
              </w:rPr>
              <w:br/>
            </w:r>
            <w:r>
              <w:rPr>
                <w:rStyle w:val="1257"/>
                <w:rFonts w:hint="default"/>
                <w:sz w:val="20"/>
                <w:highlight w:val="none"/>
              </w:rPr>
              <w:t xml:space="preserve">（1）需提供图形化编程、Python编程、流程图、思维导图、二维码生成工具、文档编辑器等工具，支持学生用户在应用工具、活动详情中调用以上学科工具；</w:t>
            </w:r>
            <w:r>
              <w:rPr>
                <w:rStyle w:val="1257"/>
                <w:rFonts w:hint="default"/>
                <w:sz w:val="20"/>
                <w:highlight w:val="none"/>
              </w:rPr>
              <w:br/>
            </w:r>
            <w:r>
              <w:rPr>
                <w:rStyle w:val="1257"/>
                <w:rFonts w:hint="default"/>
                <w:sz w:val="20"/>
                <w:highlight w:val="none"/>
              </w:rPr>
              <w:t xml:space="preserve">（2）图形化编程工具：需支持不少于16类编程积木，包含输入、传感器、执行器、音频、广播、循环、逻辑、数学、文本、变量、引脚、物联网、函数、列表、元组，支持添加AI类能力，包括AI摄像头，AI摄像头支持人脸识别、物体识别、自学习分类等。</w:t>
            </w:r>
            <w:r>
              <w:rPr>
                <w:rStyle w:val="1257"/>
                <w:rFonts w:hint="default"/>
                <w:sz w:val="20"/>
                <w:highlight w:val="none"/>
              </w:rPr>
              <w:br/>
            </w:r>
            <w:r>
              <w:rPr>
                <w:rStyle w:val="1257"/>
                <w:rFonts w:hint="default"/>
                <w:sz w:val="20"/>
                <w:highlight w:val="none"/>
              </w:rPr>
              <w:t xml:space="preserve">（3）Python编程工具：需支持在线编写python代码，支持在线运行，支持打开和保存用户个人的成果；</w:t>
            </w:r>
            <w:r>
              <w:rPr>
                <w:rStyle w:val="1257"/>
                <w:rFonts w:hint="default"/>
                <w:sz w:val="20"/>
                <w:highlight w:val="none"/>
              </w:rPr>
              <w:br/>
            </w:r>
            <w:r>
              <w:rPr>
                <w:rStyle w:val="1257"/>
                <w:rFonts w:hint="default"/>
                <w:sz w:val="20"/>
                <w:highlight w:val="none"/>
              </w:rPr>
              <w:t xml:space="preserve">（4）流程图工具：需支持绘制流程图元素及连接线，元素包含开始框、处理框、判断框、输入框，并支持对绘制区域放大、缩小、平移；</w:t>
            </w:r>
            <w:r>
              <w:rPr>
                <w:rStyle w:val="1257"/>
                <w:rFonts w:hint="default"/>
                <w:sz w:val="20"/>
                <w:highlight w:val="none"/>
              </w:rPr>
              <w:br/>
            </w:r>
            <w:r>
              <w:rPr>
                <w:rStyle w:val="1257"/>
                <w:rFonts w:hint="default"/>
                <w:sz w:val="20"/>
                <w:highlight w:val="none"/>
              </w:rPr>
              <w:t xml:space="preserve">（5）思维导图工具：需支持绘制思维导图，支持编辑中心主题，支持增删改分支主题，并支持修改导图文本格式，包含字号设置、字体颜色设置、格式对齐；</w:t>
            </w:r>
            <w:r>
              <w:rPr>
                <w:rStyle w:val="1257"/>
                <w:rFonts w:hint="default"/>
                <w:sz w:val="20"/>
                <w:highlight w:val="none"/>
              </w:rPr>
              <w:br/>
            </w:r>
            <w:r>
              <w:rPr>
                <w:rStyle w:val="1257"/>
                <w:rFonts w:hint="default"/>
                <w:sz w:val="20"/>
                <w:highlight w:val="none"/>
              </w:rPr>
              <w:t xml:space="preserve">（6）二维码生成工具：需支持生成网站、文字、图片二维码；支持预览二维码，并支持查看二维码扫描效果；支持下载二维码图片保存到本地；</w:t>
            </w:r>
            <w:r>
              <w:rPr>
                <w:rStyle w:val="1257"/>
                <w:rFonts w:hint="default"/>
                <w:sz w:val="20"/>
                <w:highlight w:val="none"/>
              </w:rPr>
              <w:br/>
            </w:r>
            <w:r>
              <w:rPr>
                <w:rStyle w:val="1257"/>
                <w:rFonts w:hint="default"/>
                <w:sz w:val="20"/>
                <w:highlight w:val="none"/>
              </w:rPr>
              <w:t xml:space="preserve">（7）文档编辑器：需支持输入文字，并支持对文字格式、字体颜色、字体大小、段落样式进行调整；</w:t>
            </w:r>
            <w:r>
              <w:rPr>
                <w:rStyle w:val="1257"/>
                <w:rFonts w:hint="default"/>
                <w:sz w:val="20"/>
                <w:highlight w:val="none"/>
              </w:rPr>
              <w:br/>
            </w:r>
            <w:r>
              <w:rPr>
                <w:rStyle w:val="1257"/>
                <w:rFonts w:hint="default"/>
                <w:sz w:val="20"/>
                <w:highlight w:val="none"/>
              </w:rPr>
              <w:t xml:space="preserve">4.活动</w:t>
            </w:r>
            <w:r>
              <w:rPr>
                <w:rStyle w:val="1257"/>
                <w:rFonts w:hint="default"/>
                <w:sz w:val="20"/>
                <w:highlight w:val="none"/>
              </w:rPr>
              <w:br/>
            </w:r>
            <w:r>
              <w:rPr>
                <w:rStyle w:val="1257"/>
                <w:rFonts w:hint="default"/>
                <w:sz w:val="20"/>
                <w:highlight w:val="none"/>
              </w:rPr>
              <w:t xml:space="preserve">（1）需支持学生接收教师发布的各类活动，包含流程图、思维导图、虚拟实验、Python编程、图形化编程等；</w:t>
            </w:r>
            <w:r>
              <w:rPr>
                <w:rStyle w:val="1257"/>
                <w:rFonts w:hint="default"/>
                <w:sz w:val="20"/>
                <w:highlight w:val="none"/>
              </w:rPr>
              <w:br/>
            </w:r>
            <w:r>
              <w:rPr>
                <w:rStyle w:val="1257"/>
                <w:rFonts w:hint="default"/>
                <w:sz w:val="20"/>
                <w:highlight w:val="none"/>
              </w:rPr>
              <w:t xml:space="preserve">（2）需支持学生在接受的活动中进行编辑、操作、提交；</w:t>
            </w:r>
            <w:r>
              <w:rPr>
                <w:rStyle w:val="1257"/>
                <w:rFonts w:hint="default"/>
                <w:sz w:val="20"/>
                <w:highlight w:val="none"/>
              </w:rPr>
              <w:br/>
            </w:r>
            <w:r>
              <w:rPr>
                <w:rStyle w:val="1257"/>
                <w:rFonts w:hint="default"/>
                <w:sz w:val="20"/>
                <w:highlight w:val="none"/>
              </w:rPr>
              <w:t xml:space="preserve">（3）需支持学生在做活动时调用笔记本，并支持上传本地文件，包含但不限于doc、docx、pdf、xls、xlsx、png等文件类型；</w:t>
            </w:r>
            <w:r>
              <w:rPr>
                <w:rStyle w:val="1257"/>
                <w:rFonts w:hint="default"/>
                <w:sz w:val="20"/>
                <w:highlight w:val="none"/>
              </w:rPr>
              <w:br/>
            </w:r>
            <w:r>
              <w:rPr>
                <w:rStyle w:val="1257"/>
                <w:rFonts w:hint="default"/>
                <w:sz w:val="20"/>
                <w:highlight w:val="none"/>
              </w:rPr>
              <w:t xml:space="preserve">（4）需支持学生在教师评价后，在活动历史中查看教师评价的结果。</w:t>
            </w:r>
            <w:r>
              <w:rPr>
                <w:rStyle w:val="1257"/>
                <w:rFonts w:hint="default"/>
                <w:sz w:val="20"/>
                <w:highlight w:val="none"/>
              </w:rPr>
              <w:br/>
            </w:r>
            <w:r>
              <w:rPr>
                <w:rStyle w:val="1257"/>
                <w:rFonts w:hint="default"/>
                <w:sz w:val="20"/>
                <w:highlight w:val="none"/>
              </w:rPr>
              <w:t xml:space="preserve">5.学情</w:t>
            </w:r>
            <w:r>
              <w:rPr>
                <w:rStyle w:val="1257"/>
                <w:rFonts w:hint="default"/>
                <w:sz w:val="20"/>
                <w:highlight w:val="none"/>
              </w:rPr>
              <w:br/>
            </w:r>
            <w:r>
              <w:rPr>
                <w:rStyle w:val="1257"/>
                <w:rFonts w:hint="default"/>
                <w:sz w:val="20"/>
                <w:highlight w:val="none"/>
              </w:rPr>
              <w:t xml:space="preserve">（1）需支持学生查看本人学情数据，包含但不限于实验学习次数、工具应用次数、活动提交次数、活动平均用时数；</w:t>
            </w:r>
            <w:r>
              <w:rPr>
                <w:rStyle w:val="1257"/>
                <w:rFonts w:hint="default"/>
                <w:sz w:val="20"/>
                <w:highlight w:val="none"/>
              </w:rPr>
              <w:br/>
            </w:r>
            <w:r>
              <w:rPr>
                <w:rStyle w:val="1257"/>
                <w:rFonts w:hint="default"/>
                <w:sz w:val="20"/>
                <w:highlight w:val="none"/>
              </w:rPr>
              <w:t xml:space="preserve">（2）需支持学生按照时间维度筛选学情数据，包括上学期、本学期。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综合实践开源硬件（初中版）</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其他组件需包含：AI能力集成板（≥1个）、编码电机（≥2个）、伺服电机（≥2个）、循线板（≥1个）、摄像头（≥1个）、LED灯（≥2个）、蓝牙手柄（≥1个）、雨水传感器（≥1个）、水泵（≥1个）、超声波传感器（≥1个）、旋钮/可变电阻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AI能力集成板需满足以下要求：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（1）屏幕尺寸：≥2.4英寸；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（2）屏幕分辨率≥320*240；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（4）运行内存：≥2GB；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（5）机身存储 ：≥16GB；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（6）电池容量：≥1600mAh</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1、需支持响应平板和电脑完成的编程，支持搭建完成的不同形态硬件响应AI图形化编程和Python编程结果。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2、需支持响应教学平板和电脑的AI能力编程调用，与用户进行交互，展现包含但不限于文字识别、人脸识别、物体识别等人工智能能力；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3、需支持屏幕回显，支持将屏幕回显至平板屏幕进行显示。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信息科技实验箱（初中版）</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1、主机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（1）主机尺寸≥15cm*15cm*4cm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（2）CPU：双核或双核以上处理器</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（3）运行内存RAM：≥512KB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（4）机身存储ROM：≥16MB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（5）LCD：≥1.2寸，像素≥300*170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（6）电量指示灯：≥1个；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（7）wifi模块：需支持2.4G Wi-Fi；</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（8）蓝牙模块：需支持BluetoothLE5.0；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（9）电池：≥1500mAh；</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（10）充电接口：Type-C接口≥1个，需支持充电、数据传输；</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（11）扩展接口：4PIN接口≥ 3个，2PIN（水泵）接口≥1个；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2、温湿度传感器≥ 1个，需支持检测温度范围为0~100℃，湿度范围为10-95%；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3、数字光线传感器≥ 1个，需支持检测范围为0-50k lx；</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4、3轴加速度计 ≥1个，需支持测量范围：XYZ三轴，最大±16g</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4、红外探测传感器≥2个，需支持探测距离为 0-5cm；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5、麦克风≥ 1个 ，需支持测量范围为 40-120dB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6、RFID读卡器≥2个，需支持探测距离为 5-10mm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7、超声波传感器≥1个，需支持测量范围为 5-200cm ；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人工智能(进阶)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1、课本经出版社出版发行，具有标准书号；</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2、课本内容涵盖大数据技术、机器学习技术、计算机视觉技术、智能语音技术、自然语言处理技术等基础知识点。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信息科技实验活动手册（初中）</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需提供实验活动手册，用以指导学生开展实验活动，实验手册需包含以下内容：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七年级实验主题：需包含但不限于信息的传递方法、资源管理、查看网页源代码、自动生成网页、交换机的包转发、路由器的包转发、TCPIP分层协议、数据存储转发、数据分包传输、搭建小型无线局域网、密码的安全性、大模型体验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八年级实验主题：需包含但不限于生成和识别二维码、智能门禁、搭建本地单盏光控路灯系统、搭建远程控制单盏路灯系统、搭建阅览室人数控制系统、搭建阅览室环境控制系统、人脸识别认证、物联网中数据传输与加密、模拟物联网中的DDoS攻击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3.每个实验均需包含以下模块：实验目标、实验工具、学习资料、实验过程、实验评价等；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AI教学平板（教师机）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 GHz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2.运行内存：≥4GB；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3.存储容量：≥64GB；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5.电池容量：≥6000mAh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教师机AI教学平板软件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1.提供教师端操控界面，提供授课系统、自由编程系统、成果管理系统；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2.运行内存：≥3GB；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3.存储容量：≥32GB；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5.电池容量：≥5000mAh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1.提供学生操控界面，提供自由编程系统、成果管理系统。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教学机器人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 存储空间：≥2GB RAM，≥16GB ROM；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 摄像头： ≥500万像素；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 显示屏： ≥5.9英寸，LCD屏；屏幕分辨率≥1440*720；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 3200mAh</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 拾音距离：≥2m；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7、具备移动功能；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8、需支持外接传感器及积木件，且需支持接口混插，实现教具间功能互通；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教学机器人软件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 提供用户主动设置WiFi的入口，支持通过WiFi与平板教学软件进行连接；</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 需支持响应平板完成的编程程序在机器人上运行，包含基础能力运行（如：运动、外观、声音、运算等），也包含AI能力运行，其中AI能力需满足：</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（1）需支持响应语音唤醒AI能力调用：支持响应所选择唤醒词，用语音将机器人从待机状态唤醒；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（2）需支持响应语音合成AI能力调用，支持响应选择不同发音人和自主编辑合成的内容，让机器人用对应发音人声音说出对应内容；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（3）需支持响应语音评测AI能力调用：支持响应设定中英文词语或句子，在机器人上实现中英文发音评测，并反馈评测得分；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（4）需支持响应机器翻译AI能力调用：支持响应将中文翻译成英文，也支持响应将英文翻译成中文，并将翻译结果显示在屏幕上；</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（5）需支持响应声纹识别AI能力调用：支持注册声纹信息，让机器人能够通过声纹识别出用户信息；</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（6）需支持响应语音转写AI能力调用：让机器人能够将语音转化为文字，并显示在屏幕上；</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（7）需支持响应文字识别AI能力调用：让机器人能够通过拍照手写体的英文或数字，并识别后转写成印刷体，在屏幕上进行显示；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（8）需支持响应人脸识别AI能力调用：支持注册人脸信息，让机器人能够通过人脸识别出用户信息，识别结果可以在屏幕上进行显示；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（9）需支持响应物体识别AI能力调用：支持机器人利用摄像头，自动识别出现在取景框里的物体名称，识别结果可在屏幕进行显示；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（10）需支持响应人机对话AI能力调用：支持响应选择需要的人机对话技能，让机器人与用户能针对不同场景下对话，例如针对教育、生活等不同场景；</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（11）需支持响应AI文本模型分类训练：支持响应自主建立文本分类模型，输入文本数据，训练分类模型，让机器人对输入的文本进行模式识别，识别结果可在屏幕进行显示；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1、循线地图板≥28块：每块尺寸≥230*230*4mm，正面：黑色线条，反面：纯色无线条；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2、长条贴纸≥15张，方格贴纸≥100张：贴纸共四种颜色，每个颜色九张完整纸张。每个颜色包含5排方格贴纸，2排长条贴纸；</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1、以太网接口≥2个；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2、PoE: 802.3bt/at 供电；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3、内置物联网:需内置蓝牙 5.1/RFID/Zigbee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4、本地供电：需支持 54V DC；</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5、物联网扩展：需支持链式物联网扩展能力，最大需支持不少于 8 个 BLE、RFID、ZigBee 等全制式物联网扩展；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6、发射功率(单路最大)：≥20dBm；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7、可调功率粒度：≥1dBm；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8.MTBF：≥850000H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9、整机 802.11ax 最高速率:≥4.5Gbps+2.4Gbps+0.575Gbps/2.4Gbps</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10、每射频最大接入用户数：≥510(整机最大接入用户数 1500；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11、虚拟 AP≥40；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移动充电车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1、支持≥ 50 台及以上配套的平板电脑同时充电；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2、材质：需采用钢板材质，全封闭，安全防盗；</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3、安全要求：电源开关需设有高压强电保护、漏电保护、过载保护；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高阶应用培训服务</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1、需提供线下入校服务（≥2次，每次不超过3天）和线上远程指导；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2、服务对象需包含学校授课教师及人工智能教育教学相关的技术人员；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3、服务内容需包含课程开课计划确定、开课应用保障、观摩课或示范课打磨、赛事服务、重大活动支撑等五类进阶服务：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（1）课程开课计划确定：需包含配合校方规划开课课时及确定开课计划；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（2）开课应用保障：需通过线上&amp;线下跟磨课，辅助老师能够顺利使用平台及教具、进行教学授课；跟进老师课程开展情况，对于老师提出的疑惑及时响应并答疑；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观摩课品示范课打磨：需配合校方打磨一节观摩课或示范课。包括，授课前：协助教师确定课程主题及授课方案、并进行课前课堂准备；授课中：课堂环境保障及听课记录；授课后：课程总结及研讨优化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（4）赛事服务：需包含人工智能赛事信息同步，并提供赛事指导；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（5）重大活动支撑：需配合校方实施参与校级或校级以上重大活动，提供如校园科技节、参观接待等活动中所涉及产品服务的支撑；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环境设计及装修服务</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间</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rPr>
                <w:rFonts w:hint="eastAsia"/>
                <w:highlight w:val="none"/>
                <w:vertAlign w:val="baseline"/>
              </w:rPr>
            </w:pPr>
            <w:r>
              <w:rPr>
                <w:rFonts w:hint="eastAsia"/>
                <w:highlight w:val="none"/>
                <w:vertAlign w:val="baseline"/>
              </w:rPr>
              <w:t xml:space="preserve">根据学校提供的场地，提供环境装修设计及装修服务，具体要求如下:</w:t>
            </w:r>
            <w:r/>
          </w:p>
          <w:p>
            <w:pPr>
              <w:rPr>
                <w:rFonts w:hint="default" w:eastAsiaTheme="minorEastAsia"/>
                <w:highlight w:val="none"/>
                <w:vertAlign w:val="baseline"/>
                <w:lang w:val="en-US" w:eastAsia="zh-CN"/>
              </w:rPr>
            </w:pPr>
            <w:r>
              <w:rPr>
                <w:rFonts w:hint="eastAsia"/>
                <w:highlight w:val="none"/>
                <w:vertAlign w:val="baseline"/>
                <w:lang w:val="en-US" w:eastAsia="zh-CN"/>
              </w:rPr>
              <w:t xml:space="preserve">一、家具要求：</w:t>
            </w:r>
            <w:r/>
          </w:p>
          <w:p>
            <w:pPr>
              <w:numPr>
                <w:ilvl w:val="0"/>
                <w:numId w:val="8"/>
              </w:numPr>
              <w:rPr>
                <w:rFonts w:hint="eastAsia"/>
                <w:highlight w:val="none"/>
                <w:vertAlign w:val="baseline"/>
                <w:lang w:val="en-US" w:eastAsia="zh-CN"/>
              </w:rPr>
            </w:pPr>
            <w:r>
              <w:rPr>
                <w:rFonts w:hint="eastAsia"/>
                <w:highlight w:val="none"/>
                <w:vertAlign w:val="baseline"/>
                <w:lang w:val="en-US" w:eastAsia="zh-CN"/>
              </w:rPr>
              <w:t xml:space="preserve">装修设计:根据场地特点、功能需求，提供资料理、策划创意、初步设计、深化设计、平面图设计、效果图设计、CAD 施工图设计等。</w:t>
            </w:r>
            <w:r/>
          </w:p>
          <w:p>
            <w:pPr>
              <w:numPr>
                <w:ilvl w:val="0"/>
                <w:numId w:val="8"/>
              </w:numPr>
              <w:rPr>
                <w:rFonts w:hint="eastAsia"/>
                <w:highlight w:val="none"/>
                <w:vertAlign w:val="baseline"/>
                <w:lang w:val="en-US" w:eastAsia="zh-CN"/>
              </w:rPr>
            </w:pPr>
            <w:r>
              <w:rPr>
                <w:rFonts w:hint="eastAsia"/>
                <w:highlight w:val="none"/>
                <w:vertAlign w:val="baseline"/>
                <w:lang w:val="en-US" w:eastAsia="zh-CN"/>
              </w:rPr>
              <w:t xml:space="preserve">AI教室内须配备教室讲台、课桌（六边形）、学生课凳，具体要求如下:学生课桌:8张，规格:台面尺寸:直径1200mm六边形桌面，桌身为E1级环保型  。学生课凳：48张，结构坚固，耐磨损。讲台：1张，规格：1100mm*650mm*92mm,台面要求:防划痕面板，防静电。台体外形美观、结构牢固，经久耐用。教师讲台:1张，尺寸:(长)1100mm*(宽)650*(高)920mm，台面采用 9mm 厚度防划痕面扳，防静电。</w:t>
            </w:r>
            <w:r/>
          </w:p>
          <w:p>
            <w:pPr>
              <w:numPr>
                <w:ilvl w:val="0"/>
                <w:numId w:val="0"/>
              </w:numPr>
              <w:rPr>
                <w:rFonts w:hint="default"/>
                <w:highlight w:val="none"/>
                <w:vertAlign w:val="baseline"/>
                <w:lang w:val="en-US" w:eastAsia="zh-CN"/>
              </w:rPr>
            </w:pPr>
            <w:r>
              <w:rPr>
                <w:rFonts w:hint="eastAsia"/>
                <w:highlight w:val="none"/>
                <w:vertAlign w:val="baseline"/>
                <w:lang w:val="en-US" w:eastAsia="zh-CN"/>
              </w:rPr>
              <w:t xml:space="preserve">二、装修要求：</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拆除：灯具，踢脚线拆除；</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矿棉板吊顶：600*600吸音矿棉板含吊筋 基数乘1.05（含损耗）；</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地胶：防静电，凹凸乱反射型地胶 基数乘1.05（含损耗）；</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大理石窗台：大理石窗台(白色人造石厚度不低于1.2CM)；</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踢脚线：铝合金踢脚线（铝合金厚度要求2MM以上）；</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室内电路改造：室内电路改造（插座 照明 空调等）；</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墙面乳胶漆：立邦腻子 立邦净味120乳胶漆2遍；</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灯具及开关面板：灯具及开关面板 （ 灯带 LED防爆教室灯）；</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窗帘：棉麻材质，要求厚重 遮光；</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广告文宣：AI教室特色标语、发光文字；</w:t>
            </w:r>
            <w:r/>
          </w:p>
          <w:p>
            <w:pPr>
              <w:numPr>
                <w:ilvl w:val="0"/>
                <w:numId w:val="0"/>
              </w:numPr>
              <w:rPr>
                <w:rFonts w:hint="default"/>
                <w:highlight w:val="none"/>
                <w:vertAlign w:val="baseline"/>
                <w:lang w:val="en-US" w:eastAsia="zh-CN"/>
              </w:rPr>
            </w:pPr>
            <w:r>
              <w:rPr>
                <w:rFonts w:hint="eastAsia"/>
                <w:highlight w:val="none"/>
                <w:vertAlign w:val="baseline"/>
                <w:lang w:val="en-US" w:eastAsia="zh-CN"/>
              </w:rPr>
              <w:t xml:space="preserve">灯带：科技元素灯带；</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材料上楼及运输费：材料上楼及运输费；</w:t>
            </w:r>
            <w:r/>
          </w:p>
          <w:p>
            <w:pPr>
              <w:pStyle w:val="947"/>
              <w:rPr>
                <w:highlight w:val="none"/>
              </w:rPr>
            </w:pPr>
            <w:r>
              <w:rPr>
                <w:rFonts w:hint="eastAsia"/>
                <w:highlight w:val="none"/>
                <w:vertAlign w:val="baseline"/>
                <w:lang w:val="en-US" w:eastAsia="zh-CN"/>
              </w:rPr>
              <w:t xml:space="preserve">室内保洁：装修垃圾处理，卫生保洁等；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赛事套装</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综合实践开源硬件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其他组件需包含：AI能力集成板（≥1个）、编码电机（≥2个）、伺服电机（≥2个）、循线板（≥1个）、摄像头（≥1个）、LED灯（≥2个）、蓝牙手柄（≥1个）、雨水传感器（≥1个）、水泵（≥1个）、超声波传感器（≥1个）、旋钮/可变电阻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AI能力集成板需满足以下要求：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（1）屏幕尺寸：≥2.4英寸；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（2）屏幕分辨率≥320*240；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（4）运行内存：≥2GB；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（5）机身存储 ：≥16GB；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（6）电池容量：≥1600mAh</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1、需支持响应平板和电脑完成的编程，支持搭建完成的不同形态硬件响应AI图形化编程和Python编程结果。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2、需支持响应教学平板和电脑的AI能力编程调用，与用户进行交互，展现包含但不限于文字识别、人脸识别、物体识别等人工智能能力；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3、需支持屏幕回显，支持将屏幕回显至平板屏幕进行显示。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2.运行内存：≥3GB；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3.存储容量：≥32GB；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5.电池容量：≥5000mAh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1.提供学生操控界面，提供自由编程系统、成果管理系统。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bl>
    <w:p>
      <w:pPr>
        <w:ind w:firstLine="562"/>
        <w:jc w:val="left"/>
        <w:spacing w:line="360" w:lineRule="auto"/>
        <w:rPr>
          <w:b/>
          <w:sz w:val="28"/>
          <w:szCs w:val="28"/>
          <w:highlight w:val="none"/>
        </w:rPr>
      </w:pPr>
      <w:r>
        <w:rPr>
          <w:rFonts w:hint="eastAsia"/>
          <w:b/>
          <w:sz w:val="28"/>
          <w:szCs w:val="28"/>
          <w:highlight w:val="none"/>
        </w:rPr>
        <w:t xml:space="preserve">四、供货要求</w:t>
      </w:r>
      <w:r/>
    </w:p>
    <w:p>
      <w:pPr>
        <w:ind w:firstLine="480"/>
        <w:jc w:val="left"/>
        <w:spacing w:line="360" w:lineRule="auto"/>
        <w:rPr>
          <w:rFonts w:ascii="Arial" w:hAnsi="Arial" w:eastAsia="Arial"/>
          <w:iCs/>
          <w:sz w:val="24"/>
          <w:szCs w:val="24"/>
          <w:highlight w:val="none"/>
        </w:rPr>
      </w:pPr>
      <w:r>
        <w:rPr>
          <w:rFonts w:hint="eastAsia" w:ascii="Arial" w:hAnsi="Arial" w:eastAsia="Arial"/>
          <w:sz w:val="24"/>
          <w:szCs w:val="24"/>
          <w:highlight w:val="none"/>
        </w:rPr>
        <w:t xml:space="preserve">★</w:t>
      </w:r>
      <w:r>
        <w:rPr>
          <w:rFonts w:ascii="Arial" w:hAnsi="Arial" w:eastAsia="Arial"/>
          <w:sz w:val="24"/>
          <w:szCs w:val="24"/>
          <w:highlight w:val="none"/>
        </w:rPr>
        <w:t xml:space="preserve">1.</w:t>
      </w:r>
      <w:r>
        <w:rPr>
          <w:rFonts w:hint="eastAsia" w:ascii="Arial" w:hAnsi="Arial" w:eastAsia="Arial"/>
          <w:sz w:val="24"/>
          <w:szCs w:val="24"/>
          <w:highlight w:val="none"/>
        </w:rPr>
        <w:t xml:space="preserve">交货期：合同签订后40天内完成安装调试和培训工作。</w:t>
      </w:r>
      <w:r/>
    </w:p>
    <w:p>
      <w:pPr>
        <w:ind w:firstLine="480"/>
        <w:jc w:val="left"/>
        <w:spacing w:line="360" w:lineRule="auto"/>
        <w:rPr>
          <w:rFonts w:ascii="Arial" w:hAnsi="Arial" w:eastAsia="Arial"/>
          <w:sz w:val="24"/>
          <w:szCs w:val="24"/>
          <w:highlight w:val="none"/>
        </w:rPr>
      </w:pPr>
      <w:r>
        <w:rPr>
          <w:rFonts w:ascii="Arial" w:hAnsi="Arial" w:eastAsia="Arial"/>
          <w:sz w:val="24"/>
          <w:szCs w:val="24"/>
          <w:highlight w:val="none"/>
        </w:rPr>
        <w:t xml:space="preserve">2.</w:t>
      </w:r>
      <w:r>
        <w:rPr>
          <w:rFonts w:hint="eastAsia" w:ascii="Arial" w:hAnsi="Arial" w:eastAsia="Arial"/>
          <w:sz w:val="24"/>
          <w:szCs w:val="24"/>
          <w:highlight w:val="none"/>
        </w:rPr>
        <w:t xml:space="preserve">交货方式：</w:t>
      </w:r>
      <w:r>
        <w:rPr>
          <w:rFonts w:hint="eastAsia"/>
          <w:color w:val="000000"/>
          <w:sz w:val="24"/>
          <w:highlight w:val="none"/>
        </w:rPr>
        <w:t xml:space="preserve">现场交货、验收</w:t>
      </w:r>
      <w:r>
        <w:rPr>
          <w:rFonts w:hint="eastAsia" w:ascii="Arial" w:hAnsi="Arial" w:eastAsia="Arial"/>
          <w:sz w:val="24"/>
          <w:szCs w:val="24"/>
          <w:highlight w:val="none"/>
        </w:rPr>
        <w:t xml:space="preserve">。</w:t>
      </w:r>
      <w:r/>
    </w:p>
    <w:p>
      <w:pPr>
        <w:ind w:firstLine="480"/>
        <w:jc w:val="left"/>
        <w:spacing w:line="360" w:lineRule="auto"/>
        <w:rPr>
          <w:rFonts w:ascii="Arial" w:hAnsi="Arial" w:eastAsia="Arial"/>
          <w:sz w:val="24"/>
          <w:szCs w:val="24"/>
          <w:highlight w:val="none"/>
        </w:rPr>
      </w:pPr>
      <w:r>
        <w:rPr>
          <w:rFonts w:ascii="Arial" w:hAnsi="Arial" w:eastAsia="Arial"/>
          <w:sz w:val="24"/>
          <w:szCs w:val="24"/>
          <w:highlight w:val="none"/>
        </w:rPr>
        <w:t xml:space="preserve">3.</w:t>
      </w:r>
      <w:r>
        <w:rPr>
          <w:rFonts w:hint="eastAsia" w:ascii="Arial" w:hAnsi="Arial" w:eastAsia="Arial"/>
          <w:sz w:val="24"/>
          <w:szCs w:val="24"/>
          <w:highlight w:val="none"/>
        </w:rPr>
        <w:t xml:space="preserve">交货地点：采购人指定的地点。</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4</w:t>
      </w:r>
      <w:r>
        <w:rPr>
          <w:rFonts w:ascii="Arial" w:hAnsi="Arial" w:eastAsia="Arial"/>
          <w:sz w:val="24"/>
          <w:szCs w:val="24"/>
          <w:highlight w:val="none"/>
        </w:rPr>
        <w:t xml:space="preserve">.</w:t>
      </w:r>
      <w:r>
        <w:rPr>
          <w:rFonts w:hint="eastAsia" w:ascii="Arial" w:hAnsi="Arial" w:eastAsia="Arial"/>
          <w:sz w:val="24"/>
          <w:szCs w:val="24"/>
          <w:highlight w:val="none"/>
        </w:rPr>
        <w:t xml:space="preserve">质量要求：完成货物清单及需要满足的技术要求中的所有内容，最终须通过灌南县教育局的组织验收</w:t>
      </w:r>
      <w:r>
        <w:rPr>
          <w:rFonts w:hint="eastAsia" w:ascii="Arial" w:hAnsi="Arial"/>
          <w:sz w:val="24"/>
          <w:szCs w:val="24"/>
          <w:highlight w:val="none"/>
        </w:rPr>
        <w:t xml:space="preserve">。</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5</w:t>
      </w:r>
      <w:r>
        <w:rPr>
          <w:rFonts w:ascii="Arial" w:hAnsi="Arial" w:eastAsia="Arial"/>
          <w:sz w:val="24"/>
          <w:szCs w:val="24"/>
          <w:highlight w:val="none"/>
        </w:rPr>
        <w:t xml:space="preserve">.</w:t>
      </w:r>
      <w:r>
        <w:rPr>
          <w:rFonts w:hint="eastAsia" w:ascii="Arial" w:hAnsi="Arial"/>
          <w:sz w:val="24"/>
          <w:szCs w:val="24"/>
          <w:highlight w:val="none"/>
        </w:rPr>
        <w:t xml:space="preserve">安全生产要求：做好安全保障工作，不因项目实施而危及自身及第三方人员、财产安全。若发生任何安全事故，由中标人自行承担相关责任。</w:t>
      </w:r>
      <w:r/>
    </w:p>
    <w:p>
      <w:pPr>
        <w:ind w:firstLine="562"/>
        <w:jc w:val="left"/>
        <w:spacing w:line="360" w:lineRule="auto"/>
        <w:rPr>
          <w:b/>
          <w:sz w:val="28"/>
          <w:szCs w:val="28"/>
          <w:highlight w:val="none"/>
        </w:rPr>
      </w:pPr>
      <w:r>
        <w:rPr>
          <w:rFonts w:hint="eastAsia"/>
          <w:b/>
          <w:sz w:val="28"/>
          <w:szCs w:val="28"/>
          <w:highlight w:val="none"/>
        </w:rPr>
        <w:t xml:space="preserve">五、安装调试要求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提供装箱清单、检验合格证、该批次产品的详细出厂检测报告、原产地证明和相关技术文件。</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投标人在合</w:t>
      </w:r>
      <w:r>
        <w:rPr>
          <w:rFonts w:hint="eastAsia" w:ascii="Arial" w:hAnsi="Arial"/>
          <w:sz w:val="24"/>
          <w:szCs w:val="24"/>
          <w:highlight w:val="none"/>
        </w:rPr>
        <w:t xml:space="preserve">同规定期限内，将所供货物按合同清单运至指定地点，安装、调试正常后交付使用。投标人在安装、调试正常交付使用后向采购单位提供售后服务联系单、货物的税务发票、产品说明书、质量保证书等相关资料，并免费对用户进行操作使用和维护保养的培训。中标人须如期完成整个项目，不得拖延，除非因不可抗力或采购人的原因将工期推迟，否则采购人将处以一定比例的违约金。投标人必须在投标文件中对整个进度作出合理安排做出承诺，并制定进度计划。提供完整设备的同时，还必须为所有设备提供规范、达标的安装工作。安装所需的必要仪器和专用工具由中标人自备。</w:t>
      </w:r>
      <w:r/>
    </w:p>
    <w:p>
      <w:pPr>
        <w:ind w:firstLine="562"/>
        <w:jc w:val="left"/>
        <w:spacing w:line="360" w:lineRule="auto"/>
        <w:rPr>
          <w:rFonts w:hint="eastAsia"/>
          <w:b/>
          <w:sz w:val="28"/>
          <w:szCs w:val="28"/>
          <w:highlight w:val="none"/>
        </w:rPr>
      </w:pPr>
      <w:r>
        <w:rPr>
          <w:rFonts w:hint="eastAsia"/>
          <w:b/>
          <w:sz w:val="28"/>
          <w:szCs w:val="28"/>
          <w:highlight w:val="none"/>
        </w:rPr>
        <w:t xml:space="preserve">★六、人员配备要求</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本项目配备项目组成员，其中项目负责人1名，项目组成员自行组建（含质保期内维护人员）。</w:t>
      </w:r>
      <w:r>
        <w:rPr>
          <w:rFonts w:hint="eastAsia" w:ascii="宋体" w:hAnsi="宋体"/>
          <w:bCs/>
          <w:sz w:val="24"/>
          <w:szCs w:val="24"/>
          <w:highlight w:val="none"/>
        </w:rPr>
        <w:t xml:space="preserve">负责所有设备安装、调试，质保期内售后服务等工作，同时配合做好验收工作。</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项目负责人：协调项目全过程的各项工作，把握项目进度、质量把控、产品验收、包装运输、指导安装、调试及验收等，及时与采购人对接工作，指导项目团队成员认真完成每一项工作。</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2.项目组成人员需为专业人员，以保证项目实施质量。根据业务需求调整设备配置。提供用户操作手册及售后维保服务。</w:t>
      </w:r>
      <w:r/>
    </w:p>
    <w:p>
      <w:pPr>
        <w:ind w:firstLine="562"/>
        <w:jc w:val="left"/>
        <w:spacing w:line="360" w:lineRule="auto"/>
        <w:rPr>
          <w:rFonts w:hint="eastAsia"/>
          <w:b/>
          <w:sz w:val="28"/>
          <w:szCs w:val="28"/>
          <w:highlight w:val="none"/>
          <w:lang w:val="en-US" w:eastAsia="zh-CN"/>
        </w:rPr>
      </w:pPr>
      <w:r>
        <w:rPr>
          <w:rFonts w:hint="eastAsia" w:ascii="Arial" w:hAnsi="Arial" w:eastAsia="Arial"/>
          <w:b/>
          <w:bCs/>
          <w:sz w:val="24"/>
          <w:szCs w:val="24"/>
          <w:highlight w:val="none"/>
        </w:rPr>
        <w:t xml:space="preserve">★</w:t>
      </w:r>
      <w:r>
        <w:rPr>
          <w:rFonts w:hint="eastAsia"/>
          <w:b/>
          <w:sz w:val="28"/>
          <w:szCs w:val="28"/>
          <w:highlight w:val="none"/>
        </w:rPr>
        <w:t xml:space="preserve">七、</w:t>
      </w:r>
      <w:r>
        <w:rPr>
          <w:rFonts w:hint="default"/>
          <w:b/>
          <w:sz w:val="28"/>
          <w:szCs w:val="28"/>
          <w:highlight w:val="none"/>
          <w:lang w:val="en-US" w:eastAsia="zh-CN"/>
        </w:rPr>
        <w:t xml:space="preserve">环境设计及装修服务</w:t>
      </w:r>
      <w:r>
        <w:rPr>
          <w:rFonts w:hint="eastAsia"/>
          <w:b/>
          <w:sz w:val="28"/>
          <w:szCs w:val="28"/>
          <w:highlight w:val="none"/>
          <w:lang w:val="en-US" w:eastAsia="zh-CN"/>
        </w:rPr>
        <w:t xml:space="preserve">要求</w:t>
      </w:r>
      <w:r/>
    </w:p>
    <w:p>
      <w:pPr>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根据学校提供的场地，提供环境装修设计及装修服务</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本次环境设计及装修服务的教室共计5间，本次服务费用由投标人综合考虑在投标报价中，不得单列，装修实施前，需与采购人确认方案</w:t>
      </w:r>
      <w:r>
        <w:rPr>
          <w:rFonts w:hint="eastAsia" w:ascii="宋体" w:hAnsi="宋体"/>
          <w:sz w:val="24"/>
          <w:szCs w:val="24"/>
          <w:highlight w:val="none"/>
        </w:rPr>
        <w:t xml:space="preserve">，具体要求如下</w:t>
      </w:r>
      <w:r>
        <w:rPr>
          <w:rFonts w:hint="eastAsia" w:ascii="宋体" w:hAnsi="宋体"/>
          <w:sz w:val="24"/>
          <w:szCs w:val="24"/>
          <w:highlight w:val="none"/>
          <w:lang w:eastAsia="zh-CN"/>
        </w:rPr>
        <w:t xml:space="preserve">：</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1、装修设计：根据场地特点、功能需求，提供资料理、策划创意、初步设计、深化设计、平面图设计、效果图设计、CAD 施工图设计等。</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2、家具要求：AI教室内须配备教室讲台、课桌（六边形）、学生课凳，具体要求如下：</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学生课桌：8张，规格：台面尺寸:直径1200mm六边形桌面，桌身为E1级环保型。</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学生课凳：48张，结构坚固，耐磨损。</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讲台：1张，规格：1100mm*650mm*92mm,台面要求：防划痕面板，防静电。台体外形美观、结构牢固，经久耐用。教师讲台：1张，尺寸：(长)1100mm*(宽)650*(高)920mm，台面采用 9mm 厚度防划痕面扳，防静电。</w:t>
      </w:r>
      <w:r/>
    </w:p>
    <w:p>
      <w:pPr>
        <w:ind w:firstLine="480"/>
        <w:jc w:val="left"/>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3、装修要求：</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拆除：灯具，踢脚线拆除；</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矿棉板吊顶：600*600吸音矿棉板含吊筋 基数乘1.05（含损耗）；</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地胶：防静电，凹凸乱反射型地胶 基数乘1.05（含损耗）；</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大理石窗台：大理石窗台(白色人造石厚度不低于1.2CM)；</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踢脚线：铝合金踢脚线（铝合金厚度要求2MM以上）；</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室内电路改造：室内电路改造（插座 照明 空调等）；</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墙面乳胶漆：立邦腻子 立邦净味120乳胶漆2遍；</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灯具及开关面板：灯具及开关面板 （ 灯带 LED防爆教室灯）；</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窗帘：棉麻材质，要求厚重 遮光；</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广告文宣：AI教室特色标语、发光文字；</w:t>
      </w:r>
      <w:r/>
    </w:p>
    <w:p>
      <w:pPr>
        <w:ind w:firstLine="480"/>
        <w:jc w:val="left"/>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灯带：科技元素灯带；</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材料上楼及运输费：材料上楼及运输费；</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室内保洁：装修垃圾处理，卫生保洁等。</w:t>
      </w:r>
      <w:r/>
    </w:p>
    <w:p>
      <w:pPr>
        <w:ind w:firstLine="562"/>
        <w:jc w:val="left"/>
        <w:spacing w:line="360" w:lineRule="auto"/>
        <w:rPr>
          <w:b/>
          <w:sz w:val="28"/>
          <w:szCs w:val="28"/>
          <w:highlight w:val="none"/>
        </w:rPr>
      </w:pPr>
      <w:r>
        <w:rPr>
          <w:rFonts w:hint="eastAsia"/>
          <w:b/>
          <w:sz w:val="28"/>
          <w:szCs w:val="28"/>
          <w:highlight w:val="none"/>
          <w:lang w:val="en-US" w:eastAsia="zh-CN"/>
        </w:rPr>
        <w:t xml:space="preserve">八</w:t>
      </w:r>
      <w:r>
        <w:rPr>
          <w:rFonts w:hint="eastAsia"/>
          <w:b/>
          <w:sz w:val="28"/>
          <w:szCs w:val="28"/>
          <w:highlight w:val="none"/>
        </w:rPr>
        <w:t xml:space="preserve">、履约验收要求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中标人交付的货物应当完全符合采购文件和合同所规定的货物、数量和规格要求。中标人提供的货物不符合采购文件和合同规定的，采购人有权拒收货物，由此引起的风险，由中标人承担。</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货物验收包括：设备型号、规格、数量、外观质量、及货物包装是否完好等方面。</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中标人应将所提供货物的装箱清单、用户手册、原厂保修卡、随机资料及配件、随机工具等交付给采购人；中标人不能完整交付货物及本款规定的单证和工具的，视为未按合同约定交货，应负责补齐，因此导致逾期交付的，由中标人承担相关的违约责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货物和系统调试验收的标准：按行业通行标准、出厂标准和投标文件不低于国家相关标准。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采购人有权要求中标人在合同签订前，对所提供的软件系统服务进行全功能演示。如与服务要求不符且出现未在投标文件中说明的负偏离，视为提供虚假材料谋求中标，采购人有权根据评标委员会推荐候选中标人顺序，选择下一中标人。</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所有硬件软件安装调试完成，乙方以书面形式向甲方申请项目验收，甲方收到乙方提交的验收申请通知之日起7个自然日内，需要组织完成验收，验收异议期为验收申请后7个自然日内。</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甲方在收到乙方验收申请通知后7个自然日内，未组织完成验收也未提出任何书面异议的，视为甲方验收通过。甲方按照产品功能清单作为验收标准，对乙方交付产品进行验收。甲方对项目进行验收并通过后 2 个自然日内，甲乙双方正式签署项目验收报告。</w:t>
      </w:r>
      <w:r/>
    </w:p>
    <w:p>
      <w:pPr>
        <w:ind w:firstLine="562"/>
        <w:jc w:val="left"/>
        <w:spacing w:line="360" w:lineRule="auto"/>
        <w:rPr>
          <w:b/>
          <w:sz w:val="28"/>
          <w:szCs w:val="28"/>
          <w:highlight w:val="none"/>
        </w:rPr>
      </w:pPr>
      <w:r>
        <w:rPr>
          <w:rFonts w:hint="eastAsia"/>
          <w:b/>
          <w:sz w:val="28"/>
          <w:szCs w:val="28"/>
          <w:highlight w:val="none"/>
          <w:lang w:val="en-US" w:eastAsia="zh-CN"/>
        </w:rPr>
        <w:t xml:space="preserve">九</w:t>
      </w:r>
      <w:r>
        <w:rPr>
          <w:rFonts w:hint="eastAsia"/>
          <w:b/>
          <w:sz w:val="28"/>
          <w:szCs w:val="28"/>
          <w:highlight w:val="none"/>
        </w:rPr>
        <w:t xml:space="preserve">、培训要求</w:t>
      </w:r>
      <w:r/>
    </w:p>
    <w:p>
      <w:pPr>
        <w:ind w:firstLine="480"/>
        <w:jc w:val="left"/>
        <w:spacing w:line="360" w:lineRule="auto"/>
        <w:rPr>
          <w:sz w:val="24"/>
          <w:szCs w:val="24"/>
          <w:highlight w:val="none"/>
        </w:rPr>
      </w:pPr>
      <w:r>
        <w:rPr>
          <w:rFonts w:hint="eastAsia"/>
          <w:sz w:val="24"/>
          <w:szCs w:val="24"/>
          <w:highlight w:val="none"/>
        </w:rPr>
        <w:t xml:space="preserve">提供详细技术资料对采购人相关人员进行操作、培训，制定内容详实的培训方案保证各学校具体操作人员熟练掌握操作相关软硬设备的使用方法、操作要领以及小故障排除办法，必要时提供操作视频。培训的内容及方案应由双方协商制定，培训的相关费用均包含在投标报价中。</w:t>
      </w:r>
      <w:r/>
    </w:p>
    <w:p>
      <w:pPr>
        <w:ind w:firstLine="562"/>
        <w:jc w:val="left"/>
        <w:spacing w:line="360" w:lineRule="auto"/>
        <w:rPr>
          <w:b/>
          <w:color w:val="auto"/>
          <w:sz w:val="28"/>
          <w:szCs w:val="28"/>
          <w:highlight w:val="none"/>
        </w:rPr>
      </w:pPr>
      <w:r>
        <w:rPr>
          <w:rFonts w:hint="eastAsia"/>
          <w:b/>
          <w:color w:val="auto"/>
          <w:sz w:val="28"/>
          <w:szCs w:val="28"/>
          <w:highlight w:val="none"/>
          <w:lang w:val="en-US" w:eastAsia="zh-CN"/>
        </w:rPr>
        <w:t xml:space="preserve">十</w:t>
      </w:r>
      <w:r>
        <w:rPr>
          <w:rFonts w:hint="eastAsia"/>
          <w:b/>
          <w:color w:val="auto"/>
          <w:sz w:val="28"/>
          <w:szCs w:val="28"/>
          <w:highlight w:val="none"/>
        </w:rPr>
        <w:t xml:space="preserve">、售后服务要求</w:t>
      </w:r>
      <w:r/>
    </w:p>
    <w:p>
      <w:pPr>
        <w:pStyle w:val="974"/>
        <w:ind w:firstLine="480"/>
        <w:spacing w:line="360" w:lineRule="auto"/>
        <w:rPr>
          <w:rFonts w:ascii="Arial" w:hAnsi="Arial" w:eastAsia="Arial"/>
          <w:b/>
          <w:bCs/>
          <w:color w:val="auto"/>
          <w:sz w:val="24"/>
          <w:szCs w:val="24"/>
          <w:highlight w:val="none"/>
        </w:rPr>
      </w:pPr>
      <w:r>
        <w:rPr>
          <w:rFonts w:hint="eastAsia" w:ascii="Arial" w:hAnsi="Arial" w:eastAsia="Arial"/>
          <w:b/>
          <w:bCs/>
          <w:color w:val="auto"/>
          <w:sz w:val="24"/>
          <w:szCs w:val="24"/>
          <w:highlight w:val="none"/>
        </w:rPr>
        <w:t xml:space="preserve">★1、质保期</w:t>
      </w:r>
      <w:r>
        <w:rPr>
          <w:rFonts w:hint="eastAsia" w:ascii="Arial" w:hAnsi="Arial" w:eastAsiaTheme="minorEastAsia"/>
          <w:b/>
          <w:bCs/>
          <w:color w:val="auto"/>
          <w:sz w:val="24"/>
          <w:szCs w:val="24"/>
          <w:highlight w:val="none"/>
        </w:rPr>
        <w:t xml:space="preserve">：</w:t>
      </w:r>
      <w:r>
        <w:rPr>
          <w:rFonts w:hint="eastAsia" w:ascii="Arial" w:hAnsi="Arial" w:eastAsia="宋体"/>
          <w:b/>
          <w:bCs/>
          <w:color w:val="auto"/>
          <w:sz w:val="24"/>
          <w:szCs w:val="24"/>
          <w:highlight w:val="none"/>
          <w:lang w:val="en-US" w:eastAsia="zh-CN"/>
        </w:rPr>
        <w:t xml:space="preserve">验收合格之日起三年</w:t>
      </w:r>
      <w:r>
        <w:rPr>
          <w:rFonts w:hint="eastAsia" w:ascii="Arial" w:hAnsi="Arial" w:eastAsia="Arial"/>
          <w:b/>
          <w:bCs/>
          <w:color w:val="auto"/>
          <w:sz w:val="24"/>
          <w:szCs w:val="24"/>
          <w:highlight w:val="none"/>
        </w:rPr>
        <w:t xml:space="preserve">。</w:t>
      </w:r>
      <w:r/>
    </w:p>
    <w:p>
      <w:pPr>
        <w:ind w:firstLine="480"/>
        <w:jc w:val="left"/>
        <w:spacing w:line="360" w:lineRule="auto"/>
        <w:rPr>
          <w:rFonts w:ascii="Arial" w:hAnsi="Arial" w:eastAsia="Arial"/>
          <w:color w:val="auto"/>
          <w:sz w:val="24"/>
          <w:szCs w:val="24"/>
          <w:highlight w:val="none"/>
        </w:rPr>
      </w:pPr>
      <w:r>
        <w:rPr>
          <w:rFonts w:hint="eastAsia" w:ascii="Arial" w:hAnsi="Arial"/>
          <w:color w:val="auto"/>
          <w:sz w:val="24"/>
          <w:szCs w:val="24"/>
          <w:highlight w:val="none"/>
        </w:rPr>
        <w:t xml:space="preserve">2、项目通过验收后，</w:t>
      </w:r>
      <w:r>
        <w:rPr>
          <w:rFonts w:hint="eastAsia" w:ascii="Arial" w:hAnsi="Arial" w:eastAsia="Arial"/>
          <w:color w:val="auto"/>
          <w:sz w:val="24"/>
          <w:szCs w:val="24"/>
          <w:highlight w:val="none"/>
        </w:rPr>
        <w:t xml:space="preserve">相关</w:t>
      </w:r>
      <w:r>
        <w:rPr>
          <w:rFonts w:hint="eastAsia" w:ascii="Arial" w:hAnsi="Arial"/>
          <w:color w:val="auto"/>
          <w:sz w:val="24"/>
          <w:szCs w:val="24"/>
          <w:highlight w:val="none"/>
        </w:rPr>
        <w:t xml:space="preserve">维保</w:t>
      </w:r>
      <w:r>
        <w:rPr>
          <w:rFonts w:hint="eastAsia" w:ascii="Arial" w:hAnsi="Arial" w:eastAsia="Arial"/>
          <w:color w:val="auto"/>
          <w:sz w:val="24"/>
          <w:szCs w:val="24"/>
          <w:highlight w:val="none"/>
        </w:rPr>
        <w:t xml:space="preserve">费用包含在预算内，采购方不再支付任何费用；</w:t>
      </w:r>
      <w:r>
        <w:rPr>
          <w:rFonts w:hint="eastAsia" w:ascii="Arial" w:hAnsi="Arial"/>
          <w:color w:val="auto"/>
          <w:sz w:val="24"/>
          <w:szCs w:val="24"/>
          <w:highlight w:val="none"/>
          <w:lang w:val="en-US" w:eastAsia="zh-CN"/>
        </w:rPr>
        <w:t xml:space="preserve">如经确认为</w:t>
      </w:r>
      <w:r>
        <w:rPr>
          <w:rFonts w:hint="eastAsia" w:ascii="Arial" w:hAnsi="Arial" w:eastAsia="Arial"/>
          <w:color w:val="auto"/>
          <w:sz w:val="24"/>
          <w:szCs w:val="24"/>
          <w:highlight w:val="none"/>
        </w:rPr>
        <w:t xml:space="preserve">人为原因造成的故障，中标人只收取</w:t>
      </w:r>
      <w:r>
        <w:rPr>
          <w:rFonts w:hint="eastAsia" w:ascii="Arial" w:hAnsi="Arial"/>
          <w:color w:val="auto"/>
          <w:sz w:val="24"/>
          <w:szCs w:val="24"/>
          <w:highlight w:val="none"/>
          <w:lang w:val="en-US" w:eastAsia="zh-CN"/>
        </w:rPr>
        <w:t xml:space="preserve">硬件</w:t>
      </w:r>
      <w:r>
        <w:rPr>
          <w:rFonts w:hint="eastAsia" w:ascii="Arial" w:hAnsi="Arial" w:eastAsia="Arial"/>
          <w:color w:val="auto"/>
          <w:sz w:val="24"/>
          <w:szCs w:val="24"/>
          <w:highlight w:val="none"/>
        </w:rPr>
        <w:t xml:space="preserve">维保成本费用。</w:t>
      </w:r>
      <w:r/>
    </w:p>
    <w:p>
      <w:pPr>
        <w:ind w:firstLine="480"/>
        <w:jc w:val="left"/>
        <w:spacing w:line="360" w:lineRule="auto"/>
        <w:rPr>
          <w:rFonts w:ascii="Arial" w:hAnsi="Arial" w:eastAsia="Arial"/>
          <w:color w:val="auto"/>
          <w:sz w:val="24"/>
          <w:szCs w:val="24"/>
          <w:highlight w:val="none"/>
        </w:rPr>
      </w:pPr>
      <w:r>
        <w:rPr>
          <w:rFonts w:hint="eastAsia" w:ascii="Arial" w:hAnsi="Arial"/>
          <w:color w:val="auto"/>
          <w:sz w:val="24"/>
          <w:szCs w:val="24"/>
          <w:highlight w:val="none"/>
        </w:rPr>
        <w:t xml:space="preserve">3、</w:t>
      </w:r>
      <w:r>
        <w:rPr>
          <w:rFonts w:hint="eastAsia" w:ascii="Arial" w:hAnsi="Arial" w:eastAsia="Arial"/>
          <w:color w:val="auto"/>
          <w:sz w:val="24"/>
          <w:szCs w:val="24"/>
          <w:highlight w:val="none"/>
        </w:rPr>
        <w:t xml:space="preserve">质保期内，提供最基本定期巡查维护服务</w:t>
      </w:r>
      <w:r>
        <w:rPr>
          <w:rFonts w:hint="eastAsia" w:ascii="Arial" w:hAnsi="Arial"/>
          <w:color w:val="auto"/>
          <w:sz w:val="24"/>
          <w:szCs w:val="24"/>
          <w:highlight w:val="none"/>
        </w:rPr>
        <w:t xml:space="preserve">，具体巡查周期按采购人要求确定</w:t>
      </w:r>
      <w:r>
        <w:rPr>
          <w:rFonts w:hint="eastAsia" w:ascii="Arial" w:hAnsi="Arial" w:eastAsia="Arial"/>
          <w:color w:val="auto"/>
          <w:sz w:val="24"/>
          <w:szCs w:val="24"/>
          <w:highlight w:val="none"/>
        </w:rPr>
        <w:t xml:space="preserve">。</w:t>
      </w:r>
      <w:r/>
    </w:p>
    <w:p>
      <w:pPr>
        <w:ind w:firstLine="480"/>
        <w:jc w:val="left"/>
        <w:spacing w:line="360" w:lineRule="auto"/>
        <w:rPr>
          <w:rFonts w:ascii="Arial" w:hAnsi="Arial" w:eastAsia="Arial"/>
          <w:color w:val="auto"/>
          <w:sz w:val="24"/>
          <w:szCs w:val="24"/>
          <w:highlight w:val="none"/>
        </w:rPr>
      </w:pPr>
      <w:r>
        <w:rPr>
          <w:rFonts w:hint="eastAsia" w:ascii="Arial" w:hAnsi="Arial"/>
          <w:color w:val="auto"/>
          <w:sz w:val="24"/>
          <w:szCs w:val="24"/>
          <w:highlight w:val="none"/>
        </w:rPr>
        <w:t xml:space="preserve">4、</w:t>
      </w:r>
      <w:r>
        <w:rPr>
          <w:rFonts w:hint="eastAsia" w:ascii="Arial" w:hAnsi="Arial" w:eastAsia="Arial"/>
          <w:color w:val="auto"/>
          <w:sz w:val="24"/>
          <w:szCs w:val="24"/>
          <w:highlight w:val="none"/>
        </w:rPr>
        <w:t xml:space="preserve">质保期内，应向采购人提供售后技术支持服务，解答用户在系统使用、维护过程中遇到的问题，进行技术响应。由于投标人产品服务造成系统瘫痪或反应速度超过系统设计的指标等通过远程方式无法排除的故障，投标人及时派遣</w:t>
      </w:r>
      <w:r>
        <w:rPr>
          <w:rFonts w:hint="eastAsia" w:ascii="Arial" w:hAnsi="Arial"/>
          <w:color w:val="auto"/>
          <w:sz w:val="24"/>
          <w:szCs w:val="24"/>
          <w:highlight w:val="none"/>
        </w:rPr>
        <w:t xml:space="preserve">专业人员</w:t>
      </w:r>
      <w:r>
        <w:rPr>
          <w:rFonts w:hint="eastAsia" w:ascii="Arial" w:hAnsi="Arial" w:eastAsia="Arial"/>
          <w:color w:val="auto"/>
          <w:sz w:val="24"/>
          <w:szCs w:val="24"/>
          <w:highlight w:val="none"/>
        </w:rPr>
        <w:t xml:space="preserve">到达现场处理，恢复系统正常运行。对运行中出现的其他问题进行远程或现场的支持维护。</w:t>
      </w:r>
      <w:r/>
    </w:p>
    <w:p>
      <w:pPr>
        <w:numPr>
          <w:ilvl w:val="255"/>
          <w:numId w:val="0"/>
        </w:numPr>
        <w:ind w:firstLine="480"/>
        <w:jc w:val="left"/>
        <w:spacing w:line="360" w:lineRule="auto"/>
        <w:rPr>
          <w:b/>
          <w:color w:val="auto"/>
          <w:sz w:val="28"/>
          <w:szCs w:val="28"/>
          <w:highlight w:val="none"/>
        </w:rPr>
      </w:pPr>
      <w:r>
        <w:rPr>
          <w:rFonts w:hint="eastAsia" w:ascii="Arial" w:hAnsi="Arial"/>
          <w:color w:val="auto"/>
          <w:sz w:val="24"/>
          <w:szCs w:val="24"/>
          <w:highlight w:val="none"/>
        </w:rPr>
        <w:t xml:space="preserve">5、</w:t>
      </w:r>
      <w:r>
        <w:rPr>
          <w:rFonts w:hint="eastAsia" w:ascii="Arial" w:hAnsi="Arial" w:eastAsia="Arial"/>
          <w:color w:val="auto"/>
          <w:sz w:val="24"/>
          <w:szCs w:val="24"/>
          <w:highlight w:val="none"/>
        </w:rPr>
        <w:t xml:space="preserve">质保期内，如遇软件产品升级、改版，</w:t>
      </w:r>
      <w:r>
        <w:rPr>
          <w:rFonts w:hint="eastAsia" w:ascii="Arial" w:hAnsi="Arial"/>
          <w:color w:val="auto"/>
          <w:sz w:val="24"/>
          <w:szCs w:val="24"/>
          <w:highlight w:val="none"/>
          <w:lang w:val="en-US" w:eastAsia="zh-CN"/>
        </w:rPr>
        <w:t xml:space="preserve">免费</w:t>
      </w:r>
      <w:r>
        <w:rPr>
          <w:rFonts w:hint="eastAsia" w:ascii="Arial" w:hAnsi="Arial" w:eastAsia="Arial"/>
          <w:color w:val="auto"/>
          <w:sz w:val="24"/>
          <w:szCs w:val="24"/>
          <w:highlight w:val="none"/>
        </w:rPr>
        <w:t xml:space="preserve">负责提供更新、升级服务。</w:t>
      </w:r>
      <w:r/>
    </w:p>
    <w:p>
      <w:pPr>
        <w:ind w:firstLine="562"/>
        <w:jc w:val="left"/>
        <w:spacing w:line="360" w:lineRule="auto"/>
        <w:rPr>
          <w:b/>
          <w:color w:val="auto"/>
          <w:sz w:val="28"/>
          <w:szCs w:val="28"/>
          <w:highlight w:val="none"/>
        </w:rPr>
      </w:pPr>
      <w:r>
        <w:rPr>
          <w:rFonts w:hint="eastAsia"/>
          <w:b/>
          <w:color w:val="auto"/>
          <w:sz w:val="28"/>
          <w:szCs w:val="28"/>
          <w:highlight w:val="none"/>
        </w:rPr>
        <w:t xml:space="preserve">十</w:t>
      </w:r>
      <w:r>
        <w:rPr>
          <w:rFonts w:hint="eastAsia"/>
          <w:b/>
          <w:color w:val="auto"/>
          <w:sz w:val="28"/>
          <w:szCs w:val="28"/>
          <w:highlight w:val="none"/>
          <w:lang w:val="en-US" w:eastAsia="zh-CN"/>
        </w:rPr>
        <w:t xml:space="preserve">一</w:t>
      </w:r>
      <w:r>
        <w:rPr>
          <w:rFonts w:hint="eastAsia"/>
          <w:b/>
          <w:color w:val="auto"/>
          <w:sz w:val="28"/>
          <w:szCs w:val="28"/>
          <w:highlight w:val="none"/>
        </w:rPr>
        <w:t xml:space="preserve">、投标报价要求</w:t>
      </w:r>
      <w:r/>
    </w:p>
    <w:p>
      <w:pPr>
        <w:ind w:firstLine="480"/>
        <w:jc w:val="left"/>
        <w:spacing w:line="360" w:lineRule="auto"/>
        <w:rPr>
          <w:color w:val="auto"/>
          <w:sz w:val="24"/>
          <w:szCs w:val="24"/>
          <w:highlight w:val="none"/>
        </w:rPr>
      </w:pPr>
      <w:r>
        <w:rPr>
          <w:rFonts w:hint="eastAsia"/>
          <w:color w:val="auto"/>
          <w:sz w:val="24"/>
          <w:szCs w:val="24"/>
          <w:highlight w:val="none"/>
        </w:rPr>
        <w:t xml:space="preserve">投标报价应包含完成供货所涉及到的一切相关费用，包含但不限于货物及货物的运输、安装调试、培训及售后服务、</w:t>
      </w:r>
      <w:r>
        <w:rPr>
          <w:rFonts w:ascii="宋体" w:hAnsi="宋体" w:cs="宋体"/>
          <w:bCs/>
          <w:color w:val="auto"/>
          <w:sz w:val="24"/>
          <w:szCs w:val="24"/>
          <w:highlight w:val="none"/>
        </w:rPr>
        <w:t xml:space="preserve">材料备品备件、包装费、运杂费（运抵现场）、卸货费、现场保管费、运输保险费、成品保护费、安装费、调试费、垃圾清运费、产品使用培训费、材料费、有关部门验收费用、各项有关规费和政策性规定费用及投标人确认为需要的其它费用等，直至交付至采购人使用时所需要的各种费用（包含所有隐含的内容）</w:t>
      </w:r>
      <w:r>
        <w:rPr>
          <w:rFonts w:hint="eastAsia"/>
          <w:color w:val="auto"/>
          <w:sz w:val="24"/>
          <w:szCs w:val="24"/>
          <w:highlight w:val="none"/>
        </w:rPr>
        <w:t xml:space="preserve">。除合同价款外，采购人不支付其他任何费用。</w:t>
      </w:r>
      <w:r/>
    </w:p>
    <w:p>
      <w:pPr>
        <w:ind w:firstLine="562"/>
        <w:jc w:val="left"/>
        <w:spacing w:line="360" w:lineRule="auto"/>
        <w:rPr>
          <w:b/>
          <w:sz w:val="28"/>
          <w:szCs w:val="28"/>
          <w:highlight w:val="none"/>
        </w:rPr>
      </w:pPr>
      <w:r>
        <w:rPr>
          <w:rFonts w:hint="eastAsia"/>
          <w:b/>
          <w:sz w:val="28"/>
          <w:szCs w:val="28"/>
          <w:highlight w:val="none"/>
        </w:rPr>
        <w:t xml:space="preserve">十</w:t>
      </w:r>
      <w:r>
        <w:rPr>
          <w:rFonts w:hint="eastAsia"/>
          <w:b/>
          <w:sz w:val="28"/>
          <w:szCs w:val="28"/>
          <w:highlight w:val="none"/>
          <w:lang w:val="en-US" w:eastAsia="zh-CN"/>
        </w:rPr>
        <w:t xml:space="preserve">二</w:t>
      </w:r>
      <w:r>
        <w:rPr>
          <w:rFonts w:hint="eastAsia"/>
          <w:b/>
          <w:sz w:val="28"/>
          <w:szCs w:val="28"/>
          <w:highlight w:val="none"/>
        </w:rPr>
        <w:t xml:space="preserve">、付款方式与履约保证金</w:t>
      </w:r>
      <w:r/>
    </w:p>
    <w:p>
      <w:pPr>
        <w:ind w:firstLine="482"/>
        <w:jc w:val="left"/>
        <w:spacing w:line="360" w:lineRule="auto"/>
        <w:rPr>
          <w:sz w:val="24"/>
          <w:szCs w:val="24"/>
          <w:highlight w:val="none"/>
        </w:rPr>
      </w:pPr>
      <w:r>
        <w:rPr>
          <w:rFonts w:hint="eastAsia" w:ascii="宋体" w:hAnsi="宋体" w:cs="宋体"/>
          <w:sz w:val="24"/>
          <w:szCs w:val="24"/>
          <w:highlight w:val="none"/>
        </w:rPr>
        <w:t xml:space="preserve">★</w:t>
      </w:r>
      <w:r>
        <w:rPr>
          <w:sz w:val="24"/>
          <w:szCs w:val="24"/>
          <w:highlight w:val="none"/>
        </w:rPr>
        <w:t xml:space="preserve">1</w:t>
      </w:r>
      <w:r>
        <w:rPr>
          <w:rFonts w:hint="eastAsia"/>
          <w:sz w:val="24"/>
          <w:szCs w:val="24"/>
          <w:highlight w:val="none"/>
        </w:rPr>
        <w:t xml:space="preserve">、付款方式</w:t>
      </w:r>
      <w:r/>
    </w:p>
    <w:p>
      <w:pPr>
        <w:ind w:firstLine="480"/>
        <w:jc w:val="left"/>
        <w:spacing w:line="360" w:lineRule="auto"/>
        <w:rPr>
          <w:rFonts w:ascii="Arial" w:hAnsi="Arial" w:eastAsia="Arial"/>
          <w:b/>
          <w:bCs/>
          <w:sz w:val="24"/>
          <w:szCs w:val="24"/>
          <w:highlight w:val="none"/>
        </w:rPr>
      </w:pPr>
      <w:r>
        <w:rPr>
          <w:rFonts w:hint="eastAsia"/>
          <w:sz w:val="24"/>
          <w:szCs w:val="24"/>
          <w:highlight w:val="none"/>
        </w:rPr>
        <w:t xml:space="preserve">合同签订后，供货完成且经验收后支付合同价的40%，验收后的第二年支付合同价的40%；验收后第三年支付余款（经审计后的尾款）（中标人申请付款时，需提供相关学校服务情况确认表）。</w:t>
      </w:r>
      <w:r/>
    </w:p>
    <w:p>
      <w:pPr>
        <w:ind w:firstLine="480"/>
        <w:jc w:val="left"/>
        <w:spacing w:line="360" w:lineRule="auto"/>
        <w:rPr>
          <w:rFonts w:ascii="Arial" w:hAnsi="Arial" w:eastAsia="Arial"/>
          <w:sz w:val="24"/>
          <w:szCs w:val="24"/>
          <w:highlight w:val="none"/>
        </w:rPr>
      </w:pPr>
      <w:r>
        <w:rPr>
          <w:rFonts w:ascii="Arial" w:hAnsi="Arial" w:eastAsia="Arial"/>
          <w:sz w:val="24"/>
          <w:szCs w:val="24"/>
          <w:highlight w:val="none"/>
        </w:rPr>
        <w:t xml:space="preserve">2</w:t>
      </w:r>
      <w:r>
        <w:rPr>
          <w:rFonts w:hint="eastAsia" w:ascii="Arial" w:hAnsi="Arial" w:eastAsia="Arial"/>
          <w:sz w:val="24"/>
          <w:szCs w:val="24"/>
          <w:highlight w:val="none"/>
        </w:rPr>
        <w:t xml:space="preserve">、履约保证金</w:t>
      </w:r>
      <w:r/>
    </w:p>
    <w:p>
      <w:pPr>
        <w:ind w:firstLine="480"/>
        <w:jc w:val="left"/>
        <w:spacing w:line="360" w:lineRule="auto"/>
        <w:rPr>
          <w:rFonts w:ascii="Arial" w:hAnsi="Arial" w:eastAsia="Arial"/>
          <w:sz w:val="24"/>
          <w:szCs w:val="24"/>
          <w:highlight w:val="none"/>
        </w:rPr>
      </w:pPr>
      <w:r>
        <w:rPr>
          <w:rFonts w:hint="eastAsia" w:ascii="Arial" w:hAnsi="Arial" w:eastAsia="Arial"/>
          <w:sz w:val="24"/>
          <w:szCs w:val="24"/>
          <w:highlight w:val="none"/>
        </w:rPr>
        <w:t xml:space="preserve">本项目不收取履约保证金。</w:t>
      </w:r>
      <w:r/>
    </w:p>
    <w:p>
      <w:pPr>
        <w:ind w:firstLine="562"/>
        <w:jc w:val="left"/>
        <w:spacing w:line="360" w:lineRule="auto"/>
        <w:rPr>
          <w:b/>
          <w:sz w:val="28"/>
          <w:szCs w:val="28"/>
          <w:highlight w:val="none"/>
        </w:rPr>
      </w:pPr>
      <w:r>
        <w:rPr>
          <w:rFonts w:hint="eastAsia"/>
          <w:b/>
          <w:sz w:val="28"/>
          <w:szCs w:val="28"/>
          <w:highlight w:val="none"/>
        </w:rPr>
        <w:t xml:space="preserve">十</w:t>
      </w:r>
      <w:r>
        <w:rPr>
          <w:rFonts w:hint="eastAsia"/>
          <w:b/>
          <w:sz w:val="28"/>
          <w:szCs w:val="28"/>
          <w:highlight w:val="none"/>
          <w:lang w:val="en-US" w:eastAsia="zh-CN"/>
        </w:rPr>
        <w:t xml:space="preserve">三</w:t>
      </w:r>
      <w:r>
        <w:rPr>
          <w:rFonts w:hint="eastAsia"/>
          <w:b/>
          <w:sz w:val="28"/>
          <w:szCs w:val="28"/>
          <w:highlight w:val="none"/>
        </w:rPr>
        <w:t xml:space="preserve">、其他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在合同履行过程中，中标人不能按照投标时提供的承诺书承诺的内容，保质保量的完成，采购人可解除采购合同，由此造成的一切损失由中标人自行承担，并追究相应的违约责任。</w:t>
      </w:r>
      <w:r/>
    </w:p>
    <w:p>
      <w:pPr>
        <w:ind w:firstLine="480"/>
        <w:spacing w:line="360" w:lineRule="auto"/>
        <w:rPr>
          <w:rFonts w:ascii="宋体" w:hAnsi="宋体"/>
          <w:sz w:val="24"/>
          <w:szCs w:val="24"/>
          <w:highlight w:val="none"/>
        </w:rPr>
        <w:sectPr>
          <w:footnotePr/>
          <w:endnotePr/>
          <w:type w:val="nextPage"/>
          <w:pgSz w:w="11906" w:h="16838" w:orient="portrait"/>
          <w:pgMar w:top="1440" w:right="1463" w:bottom="1440" w:left="1463" w:header="851" w:footer="992" w:gutter="0"/>
          <w:pgNumType w:start="1"/>
          <w:cols w:num="1" w:sep="0" w:space="425" w:equalWidth="1"/>
          <w:docGrid w:linePitch="360"/>
        </w:sect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Style w:val="1138"/>
          <w:highlight w:val="none"/>
        </w:rPr>
      </w:pPr>
      <w:r/>
      <w:bookmarkStart w:id="293" w:name="_Toc26751"/>
      <w:r/>
      <w:bookmarkStart w:id="294" w:name="_Toc20969"/>
      <w:r/>
      <w:bookmarkStart w:id="295" w:name="_Toc7113"/>
      <w:r/>
      <w:bookmarkStart w:id="296" w:name="_Toc8739"/>
      <w:r/>
      <w:bookmarkStart w:id="297" w:name="_Toc120614281"/>
      <w:r>
        <w:rPr>
          <w:rStyle w:val="1138"/>
          <w:rFonts w:hint="eastAsia"/>
          <w:highlight w:val="none"/>
        </w:rPr>
        <w:t xml:space="preserve">第五章  评标方法与评标标准</w:t>
      </w:r>
      <w:bookmarkEnd w:id="293"/>
      <w:r/>
      <w:bookmarkEnd w:id="294"/>
      <w:r/>
      <w:bookmarkEnd w:id="295"/>
      <w:r/>
      <w:bookmarkEnd w:id="296"/>
      <w:r/>
      <w:r/>
    </w:p>
    <w:p>
      <w:pPr>
        <w:spacing w:line="360" w:lineRule="auto"/>
        <w:rPr>
          <w:szCs w:val="21"/>
          <w:highlight w:val="none"/>
        </w:rPr>
      </w:pPr>
      <w:r>
        <w:rPr>
          <w:szCs w:val="21"/>
          <w:highlight w:val="none"/>
        </w:rPr>
      </w:r>
      <w:r/>
    </w:p>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一、评标方法：综合评分法</w:t>
      </w:r>
      <w:r/>
    </w:p>
    <w:p>
      <w:pPr>
        <w:ind w:firstLine="439"/>
        <w:jc w:val="left"/>
        <w:spacing w:line="360" w:lineRule="auto"/>
        <w:rPr>
          <w:rFonts w:ascii="Arial" w:hAnsi="Arial" w:cs="Arial"/>
          <w:sz w:val="24"/>
          <w:szCs w:val="24"/>
          <w:highlight w:val="none"/>
        </w:rPr>
      </w:pPr>
      <w:r>
        <w:rPr>
          <w:rFonts w:hint="eastAsia" w:ascii="Arial" w:hAnsi="Arial" w:cs="Arial"/>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二、评标委员会构成：</w:t>
      </w:r>
      <w:r/>
    </w:p>
    <w:p>
      <w:pPr>
        <w:ind w:firstLine="439"/>
        <w:jc w:val="left"/>
        <w:spacing w:line="360" w:lineRule="auto"/>
        <w:rPr>
          <w:rFonts w:ascii="Arial" w:hAnsi="Arial" w:cs="Arial"/>
          <w:sz w:val="24"/>
          <w:szCs w:val="24"/>
          <w:highlight w:val="none"/>
        </w:rPr>
      </w:pPr>
      <w:r>
        <w:rPr>
          <w:rFonts w:hint="eastAsia" w:ascii="Arial" w:hAnsi="Arial" w:cs="Arial"/>
          <w:sz w:val="24"/>
          <w:szCs w:val="24"/>
          <w:highlight w:val="none"/>
        </w:rPr>
        <w:t xml:space="preserve">本采购项目评标委员会的评委由采购人代表和评审专家组成。</w:t>
      </w:r>
      <w:r/>
    </w:p>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三、评标原则：</w:t>
      </w:r>
      <w:r/>
    </w:p>
    <w:p>
      <w:pPr>
        <w:ind w:firstLine="439"/>
        <w:jc w:val="left"/>
        <w:spacing w:line="360" w:lineRule="auto"/>
        <w:rPr>
          <w:rFonts w:ascii="Arial" w:hAnsi="Arial" w:cs="Arial"/>
          <w:sz w:val="24"/>
          <w:szCs w:val="24"/>
          <w:highlight w:val="none"/>
        </w:rPr>
      </w:pPr>
      <w:r>
        <w:rPr>
          <w:rFonts w:hint="eastAsia" w:ascii="Arial" w:hAnsi="Arial" w:cs="Arial"/>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四、评标标准</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（二）本项目评分总分为100分，按四舍五入取至小数点后两位。</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（三）总得分=价格分+商务技术分。</w:t>
      </w:r>
      <w:r/>
    </w:p>
    <w:p>
      <w:pPr>
        <w:ind w:firstLine="482"/>
        <w:jc w:val="center"/>
        <w:spacing w:line="560" w:lineRule="exact"/>
        <w:rPr>
          <w:rFonts w:ascii="Arial" w:hAnsi="Arial"/>
          <w:sz w:val="24"/>
          <w:szCs w:val="24"/>
          <w:highlight w:val="none"/>
        </w:rPr>
      </w:pPr>
      <w:r>
        <w:rPr>
          <w:rFonts w:hint="eastAsia" w:ascii="Arial" w:hAnsi="Arial"/>
          <w:b/>
          <w:bCs/>
          <w:sz w:val="24"/>
          <w:szCs w:val="24"/>
          <w:highlight w:val="none"/>
        </w:rPr>
        <w:t xml:space="preserve"> 综合评分法</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1.价格分（30分）  </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采用低价优先法计算，即满足招标文件要求且投标价格最低的投标报价（指投标综合单价）为评标基准价，其价格分为满分。其他投标人的价格分统一按照下列公式计算：        </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投标报价得分=（评标基准价/投标报价）×30分</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因落实政府采购政策进行价格调整的，以调整后的价格计算评标基准价和投标报价，小数点后保留两位。评标过程中，不得去掉报价中的最高报价和最低报价。</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2.商务技术分（70分）</w:t>
      </w:r>
      <w:r/>
    </w:p>
    <w:tbl>
      <w:tblPr>
        <w:tblStyle w:val="943"/>
        <w:tblW w:w="89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812"/>
        <w:gridCol w:w="7121"/>
      </w:tblGrid>
      <w:tr>
        <w:trPr>
          <w:jc w:val="center"/>
          <w:trHeight w:val="703"/>
        </w:trPr>
        <w:tc>
          <w:tcPr>
            <w:tcW w:w="181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b/>
                <w:bCs/>
                <w:szCs w:val="21"/>
                <w:highlight w:val="none"/>
              </w:rPr>
              <w:t xml:space="preserve">评审因素</w:t>
            </w:r>
            <w:r/>
          </w:p>
        </w:tc>
        <w:tc>
          <w:tcPr>
            <w:tcW w:w="712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b/>
                <w:bCs/>
                <w:szCs w:val="21"/>
                <w:highlight w:val="none"/>
              </w:rPr>
              <w:t xml:space="preserve">评审标准</w:t>
            </w:r>
            <w:r/>
          </w:p>
        </w:tc>
      </w:tr>
      <w:tr>
        <w:trPr>
          <w:jc w:val="center"/>
          <w:trHeight w:val="1766"/>
        </w:trPr>
        <w:tc>
          <w:tcPr>
            <w:tcW w:w="1812" w:type="dxa"/>
            <w:vAlign w:val="center"/>
            <w:textDirection w:val="lrTb"/>
            <w:noWrap w:val="false"/>
          </w:tcPr>
          <w:p>
            <w:pPr>
              <w:jc w:val="center"/>
              <w:spacing w:line="360" w:lineRule="auto"/>
              <w:rPr>
                <w:rStyle w:val="1250"/>
                <w:rFonts w:ascii="宋体" w:hAnsi="宋体" w:cs="宋体"/>
                <w:color w:val="auto"/>
                <w:sz w:val="24"/>
                <w:szCs w:val="24"/>
                <w:highlight w:val="none"/>
              </w:rPr>
            </w:pPr>
            <w:r>
              <w:rPr>
                <w:rStyle w:val="1250"/>
                <w:rFonts w:hint="eastAsia" w:ascii="宋体" w:hAnsi="宋体" w:cs="宋体"/>
                <w:color w:val="auto"/>
                <w:sz w:val="24"/>
                <w:szCs w:val="24"/>
                <w:highlight w:val="none"/>
              </w:rPr>
              <w:t xml:space="preserve">技术参数要求</w:t>
            </w:r>
            <w:r/>
          </w:p>
          <w:p>
            <w:pPr>
              <w:jc w:val="center"/>
              <w:spacing w:line="360" w:lineRule="auto"/>
              <w:rPr>
                <w:rFonts w:ascii="宋体" w:hAnsi="宋体" w:cs="宋体"/>
                <w:color w:val="auto"/>
                <w:sz w:val="24"/>
                <w:szCs w:val="24"/>
                <w:highlight w:val="none"/>
              </w:rPr>
            </w:pPr>
            <w:r>
              <w:rPr>
                <w:rStyle w:val="1250"/>
                <w:rFonts w:hint="eastAsia" w:ascii="宋体" w:hAnsi="宋体" w:cs="宋体"/>
                <w:color w:val="auto"/>
                <w:sz w:val="24"/>
                <w:szCs w:val="24"/>
                <w:highlight w:val="none"/>
              </w:rPr>
              <w:t xml:space="preserve">（26分）</w:t>
            </w:r>
            <w:r/>
          </w:p>
        </w:tc>
        <w:tc>
          <w:tcPr>
            <w:tcW w:w="7121" w:type="dxa"/>
            <w:vAlign w:val="center"/>
            <w:textDirection w:val="lrTb"/>
            <w:noWrap w:val="false"/>
          </w:tcPr>
          <w:p>
            <w:pPr>
              <w:numPr>
                <w:ilvl w:val="0"/>
                <w:numId w:val="0"/>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针对采购文件的响应情况，由评委进行评分，完全响应服务要求的得26分：其中标有“▲”的参数为重要参数，需按照参数要求提供佐证材料，不满足每项扣2分；其他参数为普通参数，不满足每项扣1分，分数扣完为止。</w:t>
            </w:r>
            <w:r/>
          </w:p>
          <w:p>
            <w:pPr>
              <w:numPr>
                <w:ilvl w:val="0"/>
                <w:numId w:val="0"/>
              </w:numPr>
              <w:jc w:val="left"/>
              <w:widowControl/>
              <w:rPr>
                <w:rFonts w:ascii="宋体" w:hAnsi="宋体" w:cs="宋体"/>
                <w:b/>
                <w:bCs/>
                <w:color w:val="auto"/>
                <w:sz w:val="24"/>
                <w:szCs w:val="24"/>
                <w:highlight w:val="none"/>
              </w:rPr>
            </w:pPr>
            <w:r>
              <w:rPr>
                <w:rFonts w:hint="eastAsia" w:ascii="宋体" w:hAnsi="宋体" w:cs="宋体"/>
                <w:b/>
                <w:bCs/>
                <w:color w:val="000000"/>
                <w:sz w:val="24"/>
                <w:szCs w:val="24"/>
                <w:highlight w:val="none"/>
              </w:rPr>
              <w:t xml:space="preserve">注：详细填写“技术规格偏离表”，其中标注▲要求提供系统功能截图，投标人未提供或提供与要求不符的视为负偏离。</w:t>
            </w:r>
            <w:r/>
          </w:p>
        </w:tc>
      </w:tr>
      <w:tr>
        <w:trPr>
          <w:jc w:val="center"/>
          <w:trHeight w:val="6692"/>
        </w:trPr>
        <w:tc>
          <w:tcPr>
            <w:tcW w:w="1812" w:type="dxa"/>
            <w:vAlign w:val="center"/>
            <w:textDirection w:val="lrTb"/>
            <w:noWrap w:val="false"/>
          </w:tcPr>
          <w:p>
            <w:pPr>
              <w:jc w:val="center"/>
              <w:widowControl/>
              <w:rPr>
                <w:rStyle w:val="1250"/>
                <w:rFonts w:ascii="宋体" w:hAnsi="宋体" w:cs="宋体"/>
                <w:color w:val="ff0000"/>
                <w:sz w:val="24"/>
                <w:szCs w:val="24"/>
                <w:highlight w:val="none"/>
              </w:rPr>
            </w:pPr>
            <w:r>
              <w:rPr>
                <w:rFonts w:hint="eastAsia" w:ascii="宋体" w:hAnsi="宋体" w:cs="宋体"/>
                <w:color w:val="000000"/>
                <w:sz w:val="24"/>
                <w:szCs w:val="24"/>
                <w:highlight w:val="none"/>
              </w:rPr>
              <w:t xml:space="preserve">企业信息安全与产品开发能力</w:t>
            </w:r>
            <w:r>
              <w:rPr>
                <w:rFonts w:hint="eastAsia" w:ascii="宋体" w:hAnsi="宋体" w:cs="宋体"/>
                <w:color w:val="000000"/>
                <w:sz w:val="22"/>
                <w:highlight w:val="none"/>
              </w:rPr>
              <w:t xml:space="preserve">（14分）</w:t>
            </w:r>
            <w:r/>
          </w:p>
        </w:tc>
        <w:tc>
          <w:tcPr>
            <w:tcW w:w="7121" w:type="dxa"/>
            <w:vAlign w:val="center"/>
            <w:textDirection w:val="lrTb"/>
            <w:noWrap w:val="false"/>
          </w:tcPr>
          <w:p>
            <w:pPr>
              <w:numPr>
                <w:ilvl w:val="0"/>
                <w:numId w:val="0"/>
              </w:num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投标人或所投产品厂商具有有效的ISO20000信息技术服务管理体系认证证书、ISO27001信息安全管理体系认证证书、ISO27701隐私信息管理体系认证证书，每提供1个得1分，</w:t>
            </w:r>
            <w:r>
              <w:rPr>
                <w:rFonts w:hint="eastAsia" w:ascii="宋体" w:hAnsi="宋体" w:cs="宋体"/>
                <w:color w:val="auto"/>
                <w:sz w:val="24"/>
                <w:szCs w:val="24"/>
                <w:highlight w:val="none"/>
                <w:lang w:val="en-US" w:eastAsia="zh-CN"/>
              </w:rPr>
              <w:t xml:space="preserve">本项最高得</w:t>
            </w:r>
            <w:r>
              <w:rPr>
                <w:rFonts w:hint="eastAsia" w:ascii="宋体" w:hAnsi="宋体" w:cs="宋体"/>
                <w:color w:val="auto"/>
                <w:sz w:val="24"/>
                <w:szCs w:val="24"/>
                <w:highlight w:val="none"/>
              </w:rPr>
              <w:t xml:space="preserve">3分。</w:t>
            </w:r>
            <w:r/>
          </w:p>
          <w:p>
            <w:pPr>
              <w:numPr>
                <w:ilvl w:val="0"/>
                <w:numId w:val="0"/>
              </w:numPr>
              <w:jc w:val="left"/>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注：投标</w:t>
            </w:r>
            <w:r>
              <w:rPr>
                <w:rFonts w:hint="eastAsia" w:ascii="宋体" w:hAnsi="宋体" w:cs="宋体"/>
                <w:b/>
                <w:bCs/>
                <w:color w:val="auto"/>
                <w:sz w:val="24"/>
                <w:szCs w:val="24"/>
                <w:highlight w:val="none"/>
              </w:rPr>
              <w:t xml:space="preserve">文件中须提供相关证明资料复印件并加盖</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rPr>
              <w:t xml:space="preserve">单位公章，否则不得分</w:t>
            </w:r>
            <w:r>
              <w:rPr>
                <w:rFonts w:hint="eastAsia" w:ascii="宋体" w:hAnsi="宋体" w:cs="宋体"/>
                <w:b/>
                <w:bCs/>
                <w:color w:val="auto"/>
                <w:sz w:val="24"/>
                <w:szCs w:val="24"/>
                <w:highlight w:val="none"/>
                <w:lang w:eastAsia="zh-CN"/>
              </w:rPr>
              <w:t xml:space="preserve">。</w:t>
            </w:r>
            <w:r/>
          </w:p>
          <w:p>
            <w:pPr>
              <w:numPr>
                <w:ilvl w:val="0"/>
                <w:numId w:val="0"/>
              </w:numPr>
              <w:jc w:val="lef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投标人或所投服务产品厂家具有中国国家认证认可监督管理委员</w:t>
            </w:r>
            <w:r>
              <w:rPr>
                <w:rFonts w:hint="eastAsia" w:ascii="宋体" w:hAnsi="宋体" w:cs="宋体"/>
                <w:color w:val="auto"/>
                <w:sz w:val="24"/>
                <w:szCs w:val="24"/>
                <w:highlight w:val="none"/>
                <w:lang w:val="en-US" w:eastAsia="zh-CN"/>
              </w:rPr>
              <w:t xml:space="preserve">会认证机构颁发的有效的软件能力成熟度等级证书（SPCA认证），获得5级，得3分；获得4级，得2分；获得3级及以下得1分，本项最高得3分。</w:t>
            </w:r>
            <w:r/>
          </w:p>
          <w:p>
            <w:pPr>
              <w:numPr>
                <w:ilvl w:val="0"/>
                <w:numId w:val="0"/>
              </w:num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注：投标文件中须提供加盖投标人公章的认证证书复印件及国家认证认可监督管理委员会网站证书查询截图；不清晰或未提供证明材料不得分。</w:t>
            </w:r>
            <w:r/>
          </w:p>
          <w:p>
            <w:pPr>
              <w:numPr>
                <w:ilvl w:val="0"/>
                <w:numId w:val="0"/>
              </w:num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为确保应用于本项目的软件来源合规，无侵权风险，需提供人工智能教育实验室中软件系统（人工智能教学应用系统、开源硬件系统软件、教师机AI教学平板软件、学生机AI教学平板软件、教学机器人软件）的软件著作权证书和检测机构出具的具备CMA标识的软件产品登记测试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测试报告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。每提供1个得1分，满分5分。</w:t>
            </w:r>
            <w:r/>
          </w:p>
          <w:p>
            <w:pPr>
              <w:numPr>
                <w:ilvl w:val="0"/>
                <w:numId w:val="0"/>
              </w:num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注：投标文件中须提供相关证明资料复印件并加盖投标人单位公章，否则不得分。</w:t>
            </w:r>
            <w:r/>
          </w:p>
          <w:p>
            <w:pPr>
              <w:numPr>
                <w:ilvl w:val="0"/>
                <w:numId w:val="0"/>
              </w:numPr>
              <w:jc w:val="lef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为确保项目系统资源内容安全、健康，投标人在本项目中使用的产品厂商需具有对互联网文本及音视频的不良信息进行安全监控的技术，提供省级以上软件评测中心或国家认可的第三方评测机构出具的检测报告。本项最高得3分，不满足不得分。</w:t>
            </w:r>
            <w:r/>
          </w:p>
          <w:p>
            <w:pPr>
              <w:numPr>
                <w:ilvl w:val="0"/>
                <w:numId w:val="0"/>
              </w:numPr>
              <w:jc w:val="left"/>
              <w:widowControl/>
              <w:rPr>
                <w:color w:val="auto"/>
                <w:highlight w:val="none"/>
              </w:rPr>
            </w:pPr>
            <w:r>
              <w:rPr>
                <w:rFonts w:hint="eastAsia" w:ascii="宋体" w:hAnsi="宋体" w:cs="宋体"/>
                <w:b/>
                <w:bCs/>
                <w:color w:val="auto"/>
                <w:sz w:val="24"/>
                <w:szCs w:val="24"/>
                <w:highlight w:val="none"/>
                <w:lang w:val="en-US" w:eastAsia="zh-CN"/>
              </w:rPr>
              <w:t xml:space="preserve">注：投标文件中须提供相关证明资料复印件并加盖投标人单位公章，否则不得分。</w:t>
            </w:r>
            <w:r/>
          </w:p>
        </w:tc>
      </w:tr>
      <w:tr>
        <w:trPr>
          <w:jc w:val="center"/>
          <w:trHeight w:val="394"/>
        </w:trPr>
        <w:tc>
          <w:tcPr>
            <w:tcW w:w="181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p>
          <w:p>
            <w:pPr>
              <w:jc w:val="center"/>
              <w:widowControl/>
              <w:rPr>
                <w:rStyle w:val="1250"/>
                <w:rFonts w:ascii="宋体" w:hAnsi="宋体" w:cs="宋体"/>
                <w:color w:val="ff0000"/>
                <w:sz w:val="24"/>
                <w:szCs w:val="24"/>
                <w:highlight w:val="none"/>
              </w:rPr>
            </w:pPr>
            <w:r>
              <w:rPr>
                <w:rFonts w:hint="eastAsia" w:ascii="宋体" w:hAnsi="宋体" w:cs="宋体"/>
                <w:color w:val="000000"/>
                <w:sz w:val="24"/>
                <w:szCs w:val="24"/>
                <w:highlight w:val="none"/>
              </w:rPr>
              <w:t xml:space="preserve">（5分）</w:t>
            </w:r>
            <w:r/>
          </w:p>
        </w:tc>
        <w:tc>
          <w:tcPr>
            <w:tcW w:w="712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根据提供的项目实施总体方案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包含完善可行的项目实施计划、人员组成、质量保证、工期管理、风险管理等进行打分。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w:t>
            </w:r>
            <w:r>
              <w:rPr>
                <w:rFonts w:hint="eastAsia" w:ascii="宋体" w:hAnsi="宋体" w:cs="宋体"/>
                <w:color w:val="auto"/>
                <w:sz w:val="24"/>
                <w:szCs w:val="24"/>
                <w:highlight w:val="none"/>
              </w:rPr>
              <w:t xml:space="preserve">方案完全满足</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对项目实施的要求，结构严谨，内容完整详实，能够针对采购项目内容要求而细化制定，项目管理运行机制健全，供货及安装及时到位，得5分；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良：</w:t>
            </w:r>
            <w:r>
              <w:rPr>
                <w:rFonts w:hint="eastAsia" w:ascii="宋体" w:hAnsi="宋体" w:cs="宋体"/>
                <w:color w:val="auto"/>
                <w:sz w:val="24"/>
                <w:szCs w:val="24"/>
                <w:highlight w:val="none"/>
              </w:rPr>
              <w:t xml:space="preserve">能够满足</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对项目实施的要求，项目实施方案完整，为本项目的实施要求而制定的措施较齐全，方案表述有一定偏差，但不影响实质性意思表达，得3分；</w:t>
            </w:r>
            <w:r/>
          </w:p>
          <w:p>
            <w:pPr>
              <w:jc w:val="left"/>
              <w:widowControl/>
              <w:rPr>
                <w:rFonts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有项目实施方案，但方案内容笼统，没有针对本项目细化制定，得1分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434"/>
        </w:trPr>
        <w:tc>
          <w:tcPr>
            <w:tcW w:w="1812" w:type="dxa"/>
            <w:vAlign w:val="center"/>
            <w:textDirection w:val="lrTb"/>
            <w:noWrap w:val="false"/>
          </w:tcPr>
          <w:p>
            <w:pPr>
              <w:jc w:val="center"/>
              <w:widowControl/>
              <w:rPr>
                <w:rFonts w:ascii="宋体" w:hAnsi="宋体" w:cs="宋体"/>
                <w:color w:val="ff0000"/>
                <w:sz w:val="24"/>
                <w:szCs w:val="24"/>
                <w:highlight w:val="none"/>
              </w:rPr>
            </w:pPr>
            <w:r>
              <w:rPr>
                <w:rFonts w:hint="eastAsia" w:ascii="宋体" w:hAnsi="宋体" w:cs="宋体"/>
                <w:color w:val="000000"/>
                <w:sz w:val="24"/>
                <w:szCs w:val="24"/>
                <w:highlight w:val="none"/>
              </w:rPr>
              <w:t xml:space="preserve">售后服务保障方案（5分）</w:t>
            </w:r>
            <w:r/>
          </w:p>
        </w:tc>
        <w:tc>
          <w:tcPr>
            <w:tcW w:w="712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根据提供的售后服务方案及措施，进行打分，须含售后服务响应时间、应急处理方案、技术服务体系说明、针对本项目售后服务内容等进行打分：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w:t>
            </w:r>
            <w:r>
              <w:rPr>
                <w:rFonts w:hint="eastAsia" w:ascii="宋体" w:hAnsi="宋体" w:cs="宋体"/>
                <w:color w:val="auto"/>
                <w:sz w:val="24"/>
                <w:szCs w:val="24"/>
                <w:highlight w:val="none"/>
              </w:rPr>
              <w:t xml:space="preserve">售后服务方案承诺服务高效，处理方案客观具体，措施得力，人员安排专业匹配度满足并优于采购需求的，得5分；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良：</w:t>
            </w:r>
            <w:r>
              <w:rPr>
                <w:rFonts w:hint="eastAsia" w:ascii="宋体" w:hAnsi="宋体" w:cs="宋体"/>
                <w:color w:val="auto"/>
                <w:sz w:val="24"/>
                <w:szCs w:val="24"/>
                <w:highlight w:val="none"/>
              </w:rPr>
              <w:t xml:space="preserve">服务较好，处理方案内容基本具体，措施有效度一般，人员安排专业匹配度基本满足采购需求，得3分；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服务一般，处理方案不具体，措施有效度不高，人员安排专业匹配度未能满足采购需求，得1分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1908"/>
        </w:trPr>
        <w:tc>
          <w:tcPr>
            <w:shd w:val="clear" w:color="auto" w:fill="auto"/>
            <w:tcW w:w="181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p>
          <w:p>
            <w:pPr>
              <w:jc w:val="center"/>
              <w:widowControl/>
              <w:rPr>
                <w:rFonts w:ascii="宋体" w:hAnsi="宋体" w:cs="宋体"/>
                <w:color w:val="ff0000"/>
                <w:sz w:val="24"/>
                <w:szCs w:val="24"/>
                <w:highlight w:val="none"/>
              </w:rPr>
            </w:pPr>
            <w:r>
              <w:rPr>
                <w:rFonts w:hint="eastAsia" w:ascii="宋体" w:hAnsi="宋体" w:cs="宋体"/>
                <w:color w:val="000000"/>
                <w:sz w:val="24"/>
                <w:szCs w:val="24"/>
                <w:highlight w:val="none"/>
              </w:rPr>
              <w:t xml:space="preserve">（5分）</w:t>
            </w:r>
            <w:r/>
          </w:p>
        </w:tc>
        <w:tc>
          <w:tcPr>
            <w:shd w:val="clear" w:color="auto" w:fill="auto"/>
            <w:tcW w:w="7121" w:type="dxa"/>
            <w:vAlign w:val="center"/>
            <w:textDirection w:val="lrTb"/>
            <w:noWrap w:val="false"/>
          </w:tcPr>
          <w:p>
            <w:pPr>
              <w:jc w:val="lef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根据提供的培训服务方案进行打分，包括周全的培训内容、培训时间、培训地点、培训目标、培训人数、培训方法和培训师资等进行打分</w:t>
            </w:r>
            <w:r>
              <w:rPr>
                <w:rFonts w:hint="eastAsia" w:ascii="宋体" w:hAnsi="宋体" w:cs="宋体"/>
                <w:color w:val="auto"/>
                <w:sz w:val="24"/>
                <w:szCs w:val="24"/>
                <w:highlight w:val="none"/>
                <w:lang w:eastAsia="zh-CN"/>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w:t>
            </w:r>
            <w:r>
              <w:rPr>
                <w:rFonts w:hint="eastAsia" w:ascii="宋体" w:hAnsi="宋体" w:cs="宋体"/>
                <w:color w:val="auto"/>
                <w:sz w:val="24"/>
                <w:szCs w:val="24"/>
                <w:highlight w:val="none"/>
              </w:rPr>
              <w:t xml:space="preserve">培训方案详细、操作性强、方式灵活多样，优于采购需求得 5分；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良：</w:t>
            </w:r>
            <w:r>
              <w:rPr>
                <w:rFonts w:hint="eastAsia" w:ascii="宋体" w:hAnsi="宋体" w:cs="宋体"/>
                <w:color w:val="auto"/>
                <w:sz w:val="24"/>
                <w:szCs w:val="24"/>
                <w:highlight w:val="none"/>
              </w:rPr>
              <w:t xml:space="preserve">培训方案内容完整、培训形式多样可行，能较好地满足采购需求得3 分；</w:t>
            </w:r>
            <w:r/>
          </w:p>
          <w:p>
            <w:pPr>
              <w:jc w:val="lef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培训方案内容</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完整、培训形式</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能较好地满足采购需求得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rPr>
                <w:rFonts w:hint="eastAsia" w:ascii="宋体" w:hAnsi="宋体" w:cs="宋体"/>
                <w:color w:val="auto"/>
                <w:sz w:val="24"/>
                <w:szCs w:val="24"/>
                <w:highlight w:val="none"/>
                <w:lang w:eastAsia="zh-CN"/>
              </w:rPr>
              <w:t xml:space="preserve">。</w:t>
            </w:r>
            <w:r/>
          </w:p>
        </w:tc>
      </w:tr>
      <w:tr>
        <w:trPr>
          <w:jc w:val="center"/>
          <w:trHeight w:val="5451"/>
        </w:trPr>
        <w:tc>
          <w:tcPr>
            <w:tcW w:w="18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重要功能视频演示</w:t>
            </w:r>
            <w:r>
              <w:rPr>
                <w:rFonts w:hint="eastAsia" w:ascii="宋体" w:hAnsi="宋体" w:cs="宋体"/>
                <w:color w:val="000000"/>
                <w:sz w:val="22"/>
                <w:highlight w:val="none"/>
              </w:rPr>
              <w:br/>
            </w:r>
            <w:r>
              <w:rPr>
                <w:rFonts w:hint="eastAsia" w:ascii="宋体" w:hAnsi="宋体" w:cs="宋体"/>
                <w:color w:val="000000"/>
                <w:sz w:val="22"/>
                <w:highlight w:val="none"/>
              </w:rPr>
              <w:t xml:space="preserve">（15分）</w:t>
            </w:r>
            <w:r/>
          </w:p>
          <w:p>
            <w:pPr>
              <w:jc w:val="center"/>
              <w:widowControl/>
              <w:rPr>
                <w:rFonts w:ascii="宋体" w:hAnsi="宋体" w:cs="宋体"/>
                <w:color w:val="000000"/>
                <w:sz w:val="22"/>
                <w:highlight w:val="none"/>
              </w:rPr>
            </w:pPr>
            <w:r>
              <w:rPr>
                <w:rFonts w:ascii="宋体" w:hAnsi="宋体" w:cs="宋体"/>
                <w:color w:val="000000"/>
                <w:sz w:val="22"/>
                <w:highlight w:val="none"/>
              </w:rPr>
            </w:r>
            <w:r/>
          </w:p>
          <w:p>
            <w:pPr>
              <w:pStyle w:val="947"/>
              <w:rPr>
                <w:highlight w:val="none"/>
              </w:rPr>
            </w:pPr>
            <w:r>
              <w:rPr>
                <w:highlight w:val="none"/>
              </w:rPr>
            </w:r>
            <w:r/>
          </w:p>
        </w:tc>
        <w:tc>
          <w:tcPr>
            <w:tcW w:w="71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以下教学应用与关键技术在评标现场提供真实平台演示或真实应用系统演示视频（演示不得使用PPT、FLASH或演示DEMO软件，投标人自备演示视频的U盘。每家投标人演示时间不超过20分钟），单项完整演示得相应分值，单项无法演示或只能演示部分功能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演示内容具体如下：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1、需支持响应语音合成AI能力调用，支持响应选择不同发音人和自主编辑合成的内容，让机器人用对应发音人声音说出对应内容。（3分）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2、需支持响应语音评测AI能力调用：支持响应设定中英文词语或句子，在机器人上实现中英文发音评测，并反馈评测得分。（3分）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3、需支持响应语音转写AI能力调用：让机器人能够将听到的语音转化为文字，并显示在屏幕上。（3分）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4、需支持响应人机对话AI能力调用：支持响应选择需要的人机对话技能，让机器人与用户能针对不同场景下对话，例如针对教育、生活等不同场景。（3分）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5、需支持响应AI文本模型分类训练：支持响应自主建立文本分类模型，输入文本数据，训练分类模型，让机器人对输入的文本进行模式识别，识别结果可在屏幕进行显示。（3分）</w:t>
            </w:r>
            <w:r/>
          </w:p>
          <w:p>
            <w:pPr>
              <w:jc w:val="left"/>
              <w:widowControl/>
              <w:rPr>
                <w:color w:val="auto"/>
                <w:highlight w:val="none"/>
              </w:rPr>
            </w:pPr>
            <w:r>
              <w:rPr>
                <w:color w:val="auto"/>
                <w:highlight w:val="none"/>
              </w:rPr>
            </w:r>
            <w:r/>
          </w:p>
        </w:tc>
      </w:tr>
    </w:tbl>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五、中标标准：</w:t>
      </w:r>
      <w:r/>
    </w:p>
    <w:p>
      <w:pPr>
        <w:ind w:firstLine="439"/>
        <w:jc w:val="left"/>
        <w:spacing w:line="360" w:lineRule="auto"/>
        <w:rPr>
          <w:rFonts w:ascii="Arial" w:hAnsi="Arial" w:cs="Arial"/>
          <w:sz w:val="24"/>
          <w:szCs w:val="24"/>
          <w:highlight w:val="none"/>
        </w:rPr>
      </w:pPr>
      <w:r>
        <w:rPr>
          <w:rFonts w:ascii="Arial" w:hAnsi="Arial" w:cs="Arial"/>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sz w:val="24"/>
          <w:szCs w:val="24"/>
          <w:highlight w:val="none"/>
        </w:rPr>
        <w:t xml:space="preserve">。</w:t>
      </w:r>
      <w:r/>
    </w:p>
    <w:p>
      <w:pPr>
        <w:pStyle w:val="1199"/>
        <w:rPr>
          <w:rFonts w:ascii="宋体" w:hAnsi="宋体"/>
          <w:color w:val="auto"/>
          <w:highlight w:val="none"/>
        </w:rPr>
      </w:pPr>
      <w:r>
        <w:rPr>
          <w:rFonts w:ascii="宋体" w:hAnsi="宋体"/>
          <w:color w:val="auto"/>
          <w:highlight w:val="none"/>
        </w:rPr>
        <w:br w:type="page" w:clear="all"/>
      </w:r>
      <w:r/>
    </w:p>
    <w:p>
      <w:pPr>
        <w:jc w:val="center"/>
        <w:keepNext/>
        <w:rPr>
          <w:rStyle w:val="1138"/>
          <w:highlight w:val="none"/>
        </w:rPr>
        <w:outlineLvl w:val="0"/>
      </w:pPr>
      <w:r/>
      <w:bookmarkStart w:id="298" w:name="_Toc12204"/>
      <w:r/>
      <w:bookmarkStart w:id="299" w:name="_Toc15574"/>
      <w:r/>
      <w:bookmarkStart w:id="300" w:name="_Toc18891"/>
      <w:r/>
      <w:bookmarkStart w:id="301" w:name="_Toc3589"/>
      <w:r>
        <w:rPr>
          <w:rStyle w:val="1138"/>
          <w:rFonts w:hint="eastAsia"/>
          <w:highlight w:val="none"/>
        </w:rPr>
        <w:t xml:space="preserve">第六章  投标</w:t>
      </w:r>
      <w:bookmarkEnd w:id="284"/>
      <w:r/>
      <w:bookmarkEnd w:id="285"/>
      <w:r/>
      <w:bookmarkEnd w:id="297"/>
      <w:r>
        <w:rPr>
          <w:rStyle w:val="1138"/>
          <w:rFonts w:hint="eastAsia"/>
          <w:highlight w:val="none"/>
        </w:rPr>
        <w:t xml:space="preserve">文件格式</w:t>
      </w:r>
      <w:bookmarkEnd w:id="298"/>
      <w:r/>
      <w:bookmarkEnd w:id="299"/>
      <w:r/>
      <w:bookmarkEnd w:id="300"/>
      <w:r/>
      <w:bookmarkEnd w:id="301"/>
      <w:r>
        <w:rPr>
          <w:rStyle w:val="1138"/>
          <w:rFonts w:hint="eastAsia"/>
          <w:highlight w:val="none"/>
        </w:rPr>
        <w:t xml:space="preserve"> </w:t>
      </w:r>
      <w:r/>
    </w:p>
    <w:p>
      <w:pPr>
        <w:jc w:val="center"/>
        <w:rPr>
          <w:rFonts w:ascii="宋体" w:hAnsi="宋体"/>
          <w:b/>
          <w:sz w:val="72"/>
          <w:szCs w:val="21"/>
          <w:highlight w:val="none"/>
        </w:rPr>
      </w:pPr>
      <w:r/>
      <w:bookmarkStart w:id="302" w:name="_Hlt26955039"/>
      <w:r/>
      <w:bookmarkEnd w:id="302"/>
      <w:r/>
      <w:bookmarkStart w:id="303" w:name="_Hlt26671244"/>
      <w:r/>
      <w:bookmarkEnd w:id="303"/>
      <w:r/>
      <w:bookmarkStart w:id="304" w:name="_Toc49090576"/>
      <w:r/>
      <w:bookmarkStart w:id="305" w:name="_Toc26554094"/>
      <w:r/>
      <w:bookmarkStart w:id="306" w:name="_Toc120614282"/>
      <w:r/>
      <w:r/>
    </w:p>
    <w:p>
      <w:pPr>
        <w:jc w:val="center"/>
        <w:rPr>
          <w:rFonts w:ascii="宋体" w:hAnsi="宋体"/>
          <w:b/>
          <w:sz w:val="72"/>
          <w:szCs w:val="21"/>
          <w:highlight w:val="none"/>
        </w:rPr>
      </w:pPr>
      <w:r>
        <w:rPr>
          <w:rFonts w:hint="eastAsia" w:ascii="宋体" w:hAnsi="宋体"/>
          <w:b/>
          <w:sz w:val="72"/>
          <w:szCs w:val="21"/>
          <w:highlight w:val="none"/>
        </w:rPr>
        <w:t xml:space="preserve">投  标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ascii="宋体" w:hAnsi="宋体"/>
          <w:b/>
          <w:sz w:val="36"/>
          <w:szCs w:val="21"/>
          <w:highlight w:val="none"/>
          <w:u w:val="single"/>
        </w:rPr>
      </w:pPr>
      <w:r>
        <w:rPr>
          <w:rFonts w:hint="eastAsia" w:ascii="宋体" w:hAnsi="宋体"/>
          <w:b/>
          <w:sz w:val="36"/>
          <w:szCs w:val="21"/>
          <w:highlight w:val="none"/>
        </w:rPr>
        <w:t xml:space="preserve">      投标人名称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ind w:firstLine="1084"/>
        <w:rPr>
          <w:rFonts w:ascii="宋体" w:hAnsi="宋体"/>
          <w:b/>
          <w:bCs/>
          <w:sz w:val="32"/>
          <w:szCs w:val="32"/>
          <w:highlight w:val="none"/>
        </w:rPr>
      </w:pPr>
      <w:r>
        <w:rPr>
          <w:rFonts w:ascii="宋体" w:hAnsi="宋体"/>
          <w:b/>
          <w:sz w:val="36"/>
          <w:szCs w:val="21"/>
          <w:highlight w:val="none"/>
          <w:u w:val="single"/>
        </w:rPr>
        <w:br w:type="page" w:clear="all"/>
      </w: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投标文件目录</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一、法人或者其他组织的营业执照等证明文件，自然人的身份证明</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二、具有良好的商业信誉和健全的财务会计制度（根据连财购〔2023〕4号、连财购（2023）9号文件精神，可以提供《财务状况报告及税收、社会保障资金缴纳情况承诺函》）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三、依法缴纳税收和社会保障资金的相关材料（根据连财购〔2023〕4号、连财购（2023）9号文件精神，可以提供《财务状况报告及税收、社会保障资金缴纳情况承诺函》）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四、具备履行合同所必需的设备和专业技术能力的书面声明</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五、参加政府采购活动前 3 年内在经营活动中没有重大违法记录的书面声明</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六、特定资格要求的证明文件（如果本项目设置特定资格要求，则需要提供）</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七、法人授权书</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八、投标函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九、中小企业声明函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十、残疾人福利性单位声明函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十一、投标分项报价表</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十二、技术要求响应及偏离表及证明文件</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十三、商务要求响应及偏离表</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十四、开标一览表</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十五、财务状况报告及税收、社会保障资金缴纳情况承诺函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十六、服务承诺、培训计划、人员安排及其他</w:t>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spacing w:line="440" w:lineRule="exact"/>
        <w:rPr>
          <w:rFonts w:ascii="宋体" w:hAnsi="宋体"/>
          <w:sz w:val="24"/>
          <w:szCs w:val="21"/>
          <w:highlight w:val="none"/>
        </w:rPr>
      </w:pPr>
      <w:r>
        <w:rPr>
          <w:rFonts w:ascii="宋体" w:hAnsi="宋体"/>
          <w:sz w:val="24"/>
          <w:szCs w:val="21"/>
          <w:highlight w:val="none"/>
        </w:rPr>
      </w:r>
      <w:r/>
    </w:p>
    <w:p>
      <w:pPr>
        <w:spacing w:line="440" w:lineRule="exact"/>
        <w:rPr>
          <w:rFonts w:ascii="宋体" w:hAnsi="宋体"/>
          <w:sz w:val="24"/>
          <w:szCs w:val="21"/>
          <w:highlight w:val="none"/>
        </w:rPr>
      </w:pPr>
      <w:r>
        <w:rPr>
          <w:rFonts w:ascii="宋体" w:hAnsi="宋体"/>
          <w:sz w:val="24"/>
          <w:szCs w:val="21"/>
          <w:highlight w:val="non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一、法人或者其他组织的营业执照等证明文件，自然人的身份证明</w:t>
      </w:r>
      <w:r/>
    </w:p>
    <w:p>
      <w:pPr>
        <w:ind w:firstLine="480"/>
        <w:spacing w:line="440" w:lineRule="exact"/>
        <w:rPr>
          <w:rFonts w:ascii="宋体" w:hAnsi="宋体"/>
          <w:sz w:val="24"/>
          <w:szCs w:val="21"/>
          <w:highlight w:val="none"/>
        </w:rPr>
      </w:pPr>
      <w:r>
        <w:rPr>
          <w:rFonts w:ascii="宋体" w:hAnsi="宋体"/>
          <w:sz w:val="24"/>
          <w:szCs w:val="21"/>
          <w:highlight w:val="non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二、具有良好的商业信誉和健全的财务会计制度</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根据连财购〔2023〕4号、连财购（2023）9号文件精神，可以提供《财务状况报告及税收、社会保障资金缴纳情况承诺函》。</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三、依法缴纳税收和社会保障资金的相关材料</w:t>
      </w:r>
      <w:r/>
    </w:p>
    <w:p>
      <w:pPr>
        <w:ind w:firstLine="480"/>
        <w:rPr>
          <w:rFonts w:ascii="宋体" w:hAnsi="宋体"/>
          <w:bCs/>
          <w:sz w:val="24"/>
          <w:szCs w:val="21"/>
          <w:highlight w:val="none"/>
        </w:rPr>
      </w:pPr>
      <w:r>
        <w:rPr>
          <w:rFonts w:hint="eastAsia" w:ascii="宋体" w:hAnsi="宋体"/>
          <w:bCs/>
          <w:sz w:val="24"/>
          <w:szCs w:val="21"/>
          <w:highlight w:val="none"/>
        </w:rPr>
        <w:t xml:space="preserve">根据连财购〔2023〕4号、连财购（2023）9号文件精神，可以提供《财务状况报告及税收、社会保障资金缴纳情况承诺函》。</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四、具备履行合同所必需的设备和专业技术能力的书面声明</w:t>
      </w:r>
      <w:r/>
    </w:p>
    <w:p>
      <w:pPr>
        <w:ind w:firstLine="492"/>
        <w:spacing w:line="460" w:lineRule="exact"/>
        <w:rPr>
          <w:rFonts w:ascii="宋体" w:hAnsi="宋体"/>
          <w:bCs/>
          <w:sz w:val="24"/>
          <w:szCs w:val="21"/>
          <w:highlight w:val="none"/>
        </w:rPr>
      </w:pPr>
      <w:r>
        <w:rPr>
          <w:rFonts w:hint="eastAsia" w:ascii="宋体" w:hAnsi="宋体"/>
          <w:bCs/>
          <w:sz w:val="24"/>
          <w:szCs w:val="21"/>
          <w:highlight w:val="none"/>
          <w:u w:val="single"/>
        </w:rPr>
        <w:t xml:space="preserve">（投标人名称）</w:t>
      </w:r>
      <w:r>
        <w:rPr>
          <w:rFonts w:hint="eastAsia" w:ascii="宋体" w:hAnsi="宋体"/>
          <w:bCs/>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主要设备有：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。（须附证明材料）</w:t>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主要专业技术能力有：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。（须附证明材料）</w:t>
      </w:r>
      <w:r/>
    </w:p>
    <w:p>
      <w:pPr>
        <w:spacing w:line="460" w:lineRule="exact"/>
        <w:rPr>
          <w:rFonts w:ascii="宋体" w:hAnsi="宋体"/>
          <w:bCs/>
          <w:sz w:val="24"/>
          <w:szCs w:val="21"/>
          <w:highlight w:val="none"/>
        </w:rPr>
      </w:pPr>
      <w:r>
        <w:rPr>
          <w:rFonts w:ascii="宋体" w:hAnsi="宋体"/>
          <w:bCs/>
          <w:sz w:val="24"/>
          <w:szCs w:val="21"/>
          <w:highlight w:val="none"/>
        </w:rPr>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投标人（盖章）：</w:t>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法定代表人或委托代理人（签字或盖章）：</w:t>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日期：    年     月     日</w:t>
      </w:r>
      <w:r/>
    </w:p>
    <w:p>
      <w:pPr>
        <w:ind w:firstLine="492"/>
        <w:spacing w:line="460" w:lineRule="exact"/>
        <w:rPr>
          <w:rFonts w:ascii="宋体" w:hAnsi="宋体"/>
          <w:bCs/>
          <w:sz w:val="24"/>
          <w:szCs w:val="21"/>
          <w:highlight w:val="none"/>
        </w:rPr>
      </w:pPr>
      <w:r>
        <w:rPr>
          <w:rFonts w:ascii="宋体" w:hAnsi="宋体"/>
          <w:bCs/>
          <w:sz w:val="24"/>
          <w:szCs w:val="21"/>
          <w:highlight w:val="none"/>
        </w:rPr>
      </w:r>
      <w:r/>
    </w:p>
    <w:p>
      <w:pPr>
        <w:ind w:firstLine="492"/>
        <w:spacing w:line="460" w:lineRule="exact"/>
        <w:rPr>
          <w:rFonts w:ascii="宋体" w:hAnsi="宋体"/>
          <w:b/>
          <w:sz w:val="24"/>
          <w:szCs w:val="21"/>
          <w:highlight w:val="none"/>
        </w:rPr>
      </w:pPr>
      <w:r>
        <w:rPr>
          <w:rFonts w:hint="eastAsia" w:ascii="宋体" w:hAnsi="宋体"/>
          <w:b/>
          <w:sz w:val="24"/>
          <w:szCs w:val="21"/>
          <w:highlight w:val="none"/>
        </w:rPr>
        <w:t xml:space="preserve">附主要设备和主要专业技术能力的证明材料如下：</w:t>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rPr>
          <w:szCs w:val="21"/>
          <w:highlight w:val="none"/>
        </w:rPr>
      </w:pPr>
      <w:r>
        <w:rPr>
          <w:szCs w:val="21"/>
          <w:highlight w:val="non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投标人（盖章）：</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法定代表人或委托代理人（签字或盖章）：</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日期：    年     月     日</w:t>
      </w:r>
      <w:r/>
    </w:p>
    <w:p>
      <w:pPr>
        <w:spacing w:line="460" w:lineRule="exact"/>
        <w:rPr>
          <w:rFonts w:ascii="宋体" w:hAnsi="宋体"/>
          <w:bCs/>
          <w:sz w:val="24"/>
          <w:szCs w:val="21"/>
          <w:highlight w:val="none"/>
        </w:rPr>
      </w:pPr>
      <w:r>
        <w:rPr>
          <w:rFonts w:ascii="宋体" w:hAnsi="宋体"/>
          <w:bCs/>
          <w:sz w:val="24"/>
          <w:szCs w:val="21"/>
          <w:highlight w:val="non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六、特定资格要求的证明文件</w:t>
      </w:r>
      <w:r/>
    </w:p>
    <w:p>
      <w:pPr>
        <w:spacing w:line="460" w:lineRule="exact"/>
        <w:rPr>
          <w:rFonts w:ascii="宋体" w:hAnsi="宋体"/>
          <w:bCs/>
          <w:sz w:val="24"/>
          <w:szCs w:val="21"/>
          <w:highlight w:val="none"/>
        </w:rPr>
      </w:pPr>
      <w:r>
        <w:rPr>
          <w:rFonts w:hint="eastAsia" w:ascii="宋体" w:hAnsi="宋体"/>
          <w:sz w:val="24"/>
          <w:szCs w:val="21"/>
          <w:highlight w:val="none"/>
        </w:rPr>
        <w:t xml:space="preserve">   如果本项目申请人的特定资格要求中要求提供的，必须提供。</w:t>
      </w:r>
      <w:bookmarkEnd w:id="304"/>
      <w:r/>
      <w:bookmarkEnd w:id="305"/>
      <w:r/>
      <w:bookmarkEnd w:id="306"/>
      <w:r/>
      <w:r/>
    </w:p>
    <w:p>
      <w:pPr>
        <w:spacing w:line="460" w:lineRule="exact"/>
        <w:rPr>
          <w:rFonts w:ascii="宋体" w:hAnsi="宋体"/>
          <w:bCs/>
          <w:sz w:val="24"/>
          <w:szCs w:val="21"/>
          <w:highlight w:val="none"/>
        </w:rPr>
      </w:pPr>
      <w:r/>
      <w:bookmarkStart w:id="307" w:name="_Toc120614284"/>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1199"/>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1199"/>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1199"/>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cente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七、法人授权书</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致：</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本人</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（姓名）系</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（投标人名称）的法定代表人（单位负责人），现委托</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（姓名）为我方代理人。代理人根据授权，以我方名义签署、澄清确认、递交、撤回、修改</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项目（分包号：</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）投标文件和处理有关事宜，其法律后果由我方承担。</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委托期限：自本授权委托书签署之日起至投标有效期届满之日止。</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代理人无转委托权。</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投标人名称（加盖公章）</w:t>
      </w:r>
      <w:r>
        <w:rPr>
          <w:rFonts w:hint="eastAsia" w:ascii="宋体" w:hAnsi="宋体"/>
          <w:bCs/>
          <w:sz w:val="24"/>
          <w:szCs w:val="21"/>
          <w:highlight w:val="none"/>
          <w:lang w:val="zh-CN"/>
        </w:rPr>
        <w:t xml:space="preserve">：</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法定代表人（单位负责人）（签字、签章或印鉴）：</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lang w:val="zh-CN"/>
        </w:rPr>
      </w:pPr>
      <w:r>
        <w:rPr>
          <w:rFonts w:hint="eastAsia" w:ascii="宋体" w:hAnsi="宋体"/>
          <w:bCs/>
          <w:sz w:val="24"/>
          <w:szCs w:val="21"/>
          <w:highlight w:val="none"/>
        </w:rPr>
        <w:t xml:space="preserve">委托代理人（签字/签章）：</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    </w:t>
      </w:r>
      <w:r>
        <w:rPr>
          <w:rFonts w:hint="eastAsia" w:ascii="宋体" w:hAnsi="宋体"/>
          <w:bCs/>
          <w:sz w:val="24"/>
          <w:szCs w:val="21"/>
          <w:highlight w:val="none"/>
          <w:lang w:val="zh-CN"/>
        </w:rPr>
        <w:t xml:space="preserve">                      </w:t>
      </w:r>
      <w:r/>
    </w:p>
    <w:p>
      <w:pPr>
        <w:ind w:firstLine="481"/>
        <w:spacing w:line="460" w:lineRule="exact"/>
        <w:rPr>
          <w:rFonts w:ascii="宋体" w:hAnsi="宋体"/>
          <w:bCs/>
          <w:sz w:val="24"/>
          <w:szCs w:val="21"/>
          <w:highlight w:val="none"/>
          <w:lang w:val="zh-CN"/>
        </w:rPr>
      </w:pPr>
      <w:r>
        <w:rPr>
          <w:rFonts w:hint="eastAsia" w:ascii="宋体" w:hAnsi="宋体"/>
          <w:bCs/>
          <w:sz w:val="24"/>
          <w:szCs w:val="21"/>
          <w:highlight w:val="none"/>
        </w:rPr>
        <w:t xml:space="preserve">日期：</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法定代表人（单位负责人）有效期内的身份证正反面电子件：</w:t>
      </w:r>
      <w:r/>
    </w:p>
    <w:tbl>
      <w:tblPr>
        <w:tblStyle w:val="94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c>
          <w:tcPr>
            <w:tcW w:w="4536"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r>
    </w:tbl>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委托代理人有效期内的身份证正反面电子件：</w:t>
      </w:r>
      <w:r/>
    </w:p>
    <w:tbl>
      <w:tblPr>
        <w:tblStyle w:val="94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c>
          <w:tcPr>
            <w:tcW w:w="4536"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r>
    </w:tbl>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填报说明：</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highlight w:val="none"/>
        </w:rPr>
      </w:pPr>
      <w:r>
        <w:rPr>
          <w:rFonts w:hint="eastAsia" w:ascii="宋体" w:hAnsi="宋体"/>
          <w:bCs/>
          <w:sz w:val="24"/>
          <w:szCs w:val="21"/>
          <w:highlight w:val="none"/>
        </w:rPr>
        <w:t xml:space="preserve">3、投标人为自然人的情形，可不提供本《授权委托书》。</w:t>
      </w:r>
      <w:r>
        <w:rPr>
          <w:rFonts w:hint="eastAsia" w:ascii="宋体" w:hAnsi="宋体"/>
          <w:bCs/>
          <w:sz w:val="24"/>
          <w:szCs w:val="21"/>
          <w:highlight w:val="none"/>
        </w:rPr>
        <w:br w:type="page" w:clear="all"/>
      </w:r>
      <w:r/>
    </w:p>
    <w:p>
      <w:pPr>
        <w:jc w:val="center"/>
        <w:spacing w:line="360" w:lineRule="exact"/>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致：</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兹证明，</w:t>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姓名：</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性别：</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年龄：</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职务：</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系</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（投标人名称）的法定代表人（单位负责人）。</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附：法定代表人（单位负责人）有效期内的身份证正反面电子件。</w:t>
      </w:r>
      <w:r/>
    </w:p>
    <w:tbl>
      <w:tblPr>
        <w:tblStyle w:val="94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c>
          <w:tcPr>
            <w:tcW w:w="4536"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r>
    </w:tbl>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投标人名称（加盖公章）</w:t>
      </w:r>
      <w:r>
        <w:rPr>
          <w:rFonts w:hint="eastAsia" w:ascii="宋体" w:hAnsi="宋体"/>
          <w:bCs/>
          <w:sz w:val="24"/>
          <w:szCs w:val="21"/>
          <w:highlight w:val="none"/>
          <w:lang w:val="zh-CN"/>
        </w:rPr>
        <w:t xml:space="preserve">：</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法定代表人（单位负责人）（签字、签章或印鉴）：</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lang w:val="zh-CN"/>
        </w:rPr>
      </w:pPr>
      <w:r>
        <w:rPr>
          <w:rFonts w:hint="eastAsia" w:ascii="宋体" w:hAnsi="宋体"/>
          <w:bCs/>
          <w:sz w:val="24"/>
          <w:szCs w:val="21"/>
          <w:highlight w:val="none"/>
        </w:rPr>
        <w:t xml:space="preserve">日期：</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20"/>
        <w:rPr>
          <w:i/>
          <w:sz w:val="24"/>
          <w:szCs w:val="24"/>
          <w:highlight w:val="none"/>
          <w:u w:val="single"/>
        </w:rPr>
      </w:pPr>
      <w:r>
        <w:rPr>
          <w:i/>
          <w:sz w:val="24"/>
          <w:szCs w:val="24"/>
          <w:highlight w:val="none"/>
          <w:u w:val="single"/>
        </w:rPr>
      </w:r>
      <w:r/>
    </w:p>
    <w:p>
      <w:pPr>
        <w:rPr>
          <w:szCs w:val="21"/>
          <w:highlight w:val="none"/>
        </w:rPr>
      </w:pPr>
      <w:r>
        <w:rPr>
          <w:szCs w:val="21"/>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jc w:val="center"/>
        <w:keepLines/>
        <w:keepNext/>
        <w:spacing w:before="260" w:after="260" w:line="416" w:lineRule="auto"/>
        <w:rPr>
          <w:rFonts w:ascii="黑体" w:hAnsi="黑体" w:eastAsia="黑体"/>
          <w:iCs/>
          <w:sz w:val="32"/>
          <w:szCs w:val="32"/>
          <w:highlight w:val="none"/>
          <w:u w:val="single"/>
        </w:rPr>
        <w:outlineLvl w:val="1"/>
      </w:pPr>
      <w:r>
        <w:rPr>
          <w:rFonts w:ascii="宋体" w:hAnsi="宋体" w:eastAsia="幼圆" w:cs="Arial"/>
          <w:b/>
          <w:sz w:val="24"/>
          <w:szCs w:val="44"/>
          <w:highlight w:val="none"/>
        </w:rPr>
        <w:br w:type="page" w:clear="all"/>
      </w:r>
      <w:bookmarkStart w:id="308" w:name="_Toc30562"/>
      <w:r/>
      <w:bookmarkStart w:id="309" w:name="_Toc23712"/>
      <w:r/>
      <w:bookmarkStart w:id="310" w:name="_Toc24282"/>
      <w:r/>
      <w:bookmarkStart w:id="311" w:name="_Toc24969"/>
      <w:r/>
      <w:bookmarkStart w:id="312" w:name="_Toc12885"/>
      <w:r>
        <w:rPr>
          <w:rFonts w:hint="eastAsia" w:ascii="黑体" w:hAnsi="黑体" w:eastAsia="黑体"/>
          <w:iCs/>
          <w:sz w:val="32"/>
          <w:szCs w:val="32"/>
          <w:highlight w:val="none"/>
          <w:u w:val="single"/>
        </w:rPr>
        <w:t xml:space="preserve">八、投标函</w:t>
      </w:r>
      <w:bookmarkEnd w:id="308"/>
      <w:r/>
      <w:bookmarkEnd w:id="309"/>
      <w:r/>
      <w:bookmarkEnd w:id="310"/>
      <w:r/>
      <w:bookmarkEnd w:id="311"/>
      <w:r/>
      <w:bookmarkEnd w:id="312"/>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致：灌南县教育局</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20" w:lineRule="exact"/>
        <w:rPr>
          <w:rFonts w:ascii="宋体" w:hAnsi="宋体"/>
          <w:sz w:val="24"/>
          <w:szCs w:val="21"/>
          <w:highlight w:val="none"/>
        </w:rPr>
      </w:pPr>
      <w:r>
        <w:rPr>
          <w:rFonts w:ascii="宋体" w:hAnsi="宋体"/>
          <w:sz w:val="24"/>
          <w:szCs w:val="21"/>
          <w:highlight w:val="none"/>
        </w:rPr>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投标人（盖章）：</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法定代表人或委托代理人（签字或盖章）：</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           期：________年____月____日</w:t>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spacing w:line="560" w:lineRule="exact"/>
        <w:rPr>
          <w:rFonts w:ascii="宋体" w:hAnsi="宋体"/>
          <w:bCs/>
          <w:sz w:val="24"/>
          <w:szCs w:val="21"/>
          <w:highlight w:val="none"/>
        </w:rPr>
      </w:pPr>
      <w:r>
        <w:rPr>
          <w:rFonts w:ascii="宋体" w:hAnsi="宋体"/>
          <w:bCs/>
          <w:sz w:val="24"/>
          <w:szCs w:val="21"/>
          <w:highlight w:val="none"/>
        </w:rPr>
      </w:r>
      <w:r/>
    </w:p>
    <w:p>
      <w:pPr>
        <w:jc w:val="cente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九、中小企业声明函（货物）</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本公司（联合体）郑重声明，根据《政府采购促进中小企业发展管理办法》(财库[2020]46号)的规定，本公司（联合体）参加采购人组织的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（项目名称）（项目编号：**）</w:t>
      </w:r>
      <w:r>
        <w:rPr>
          <w:rFonts w:hint="eastAsia" w:ascii="宋体" w:hAnsi="宋体"/>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560" w:lineRule="exact"/>
        <w:rPr>
          <w:rFonts w:ascii="宋体" w:hAnsi="宋体"/>
          <w:sz w:val="24"/>
          <w:szCs w:val="24"/>
          <w:highlight w:val="none"/>
        </w:rPr>
      </w:pPr>
      <w:r>
        <w:rPr>
          <w:rFonts w:ascii="宋体" w:hAnsi="宋体"/>
          <w:sz w:val="24"/>
          <w:szCs w:val="24"/>
          <w:highlight w:val="none"/>
        </w:rPr>
      </w:r>
      <w:r/>
    </w:p>
    <w:p>
      <w:pPr>
        <w:ind w:right="180" w:firstLine="360"/>
        <w:jc w:val="right"/>
        <w:spacing w:line="56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firstLine="360"/>
        <w:jc w:val="center"/>
        <w:spacing w:line="560" w:lineRule="exact"/>
        <w:rPr>
          <w:rFonts w:ascii="华文新魏" w:hAnsi="宋体" w:eastAsia="华文新魏"/>
          <w:sz w:val="36"/>
          <w:szCs w:val="36"/>
          <w:highlight w:val="none"/>
        </w:rPr>
      </w:pPr>
      <w:r>
        <w:rPr>
          <w:rFonts w:hint="eastAsia" w:ascii="宋体" w:hAnsi="宋体"/>
          <w:sz w:val="24"/>
          <w:szCs w:val="24"/>
          <w:highlight w:val="none"/>
        </w:rPr>
        <w:t xml:space="preserve">                   日  期：</w:t>
      </w:r>
      <w:r/>
    </w:p>
    <w:p>
      <w:pPr>
        <w:ind w:firstLine="480"/>
        <w:spacing w:line="540" w:lineRule="exact"/>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540" w:lineRule="exact"/>
        <w:rPr>
          <w:rFonts w:ascii="宋体" w:hAnsi="宋体"/>
          <w:sz w:val="24"/>
          <w:szCs w:val="24"/>
          <w:highlight w:val="none"/>
        </w:rPr>
      </w:pPr>
      <w:r>
        <w:rPr>
          <w:rFonts w:hint="eastAsia" w:ascii="宋体" w:hAnsi="宋体"/>
          <w:sz w:val="24"/>
          <w:szCs w:val="24"/>
          <w:highlight w:val="none"/>
        </w:rPr>
        <w:t xml:space="preserve">备注2：请投标人如实填写，所填内容须与报价明细表一致，如填写不完整或不一致或填写有误或未提供此声明函，将不享受扶持政策</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每个货物均要求对应填写</w:t>
      </w:r>
      <w:r>
        <w:rPr>
          <w:rFonts w:hint="eastAsia" w:ascii="宋体" w:hAnsi="宋体"/>
          <w:b/>
          <w:bCs/>
          <w:sz w:val="24"/>
          <w:szCs w:val="24"/>
          <w:highlight w:val="none"/>
          <w:lang w:eastAsia="zh-CN"/>
        </w:rPr>
        <w:t xml:space="preserve">）</w:t>
      </w:r>
      <w:r>
        <w:rPr>
          <w:rFonts w:hint="eastAsia" w:ascii="宋体" w:hAnsi="宋体"/>
          <w:sz w:val="24"/>
          <w:szCs w:val="24"/>
          <w:highlight w:val="none"/>
        </w:rPr>
        <w:t xml:space="preserve">。</w:t>
      </w:r>
      <w:r/>
    </w:p>
    <w:p>
      <w:pPr>
        <w:ind w:firstLine="480"/>
        <w:spacing w:line="540" w:lineRule="exact"/>
        <w:rPr>
          <w:rFonts w:ascii="宋体" w:hAnsi="宋体"/>
          <w:sz w:val="24"/>
          <w:szCs w:val="24"/>
          <w:highlight w:val="none"/>
        </w:rPr>
      </w:pPr>
      <w:r>
        <w:rPr>
          <w:rFonts w:hint="eastAsia" w:ascii="宋体" w:hAnsi="宋体"/>
          <w:sz w:val="24"/>
          <w:szCs w:val="24"/>
          <w:highlight w:val="none"/>
        </w:rPr>
        <w:t xml:space="preserve">备注3：中标人的《中小企业声明函》随中标结果公开。</w:t>
      </w:r>
      <w:r/>
    </w:p>
    <w:p>
      <w:pPr>
        <w:jc w:val="center"/>
        <w:spacing w:line="460" w:lineRule="exact"/>
        <w:rPr>
          <w:rFonts w:ascii="黑体" w:hAnsi="黑体" w:eastAsia="黑体"/>
          <w:b/>
          <w:iCs/>
          <w:sz w:val="32"/>
          <w:szCs w:val="32"/>
          <w:highlight w:val="none"/>
        </w:rPr>
      </w:pPr>
      <w:r>
        <w:rPr>
          <w:rFonts w:hint="eastAsia" w:ascii="黑体" w:hAnsi="黑体" w:eastAsia="黑体"/>
          <w:iCs/>
          <w:sz w:val="32"/>
          <w:szCs w:val="32"/>
          <w:highlight w:val="none"/>
          <w:u w:val="single"/>
        </w:rPr>
        <w:t xml:space="preserve">十、残疾人福利性单位声明函 </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1. </w:t>
      </w:r>
      <w:r>
        <w:rPr>
          <w:rFonts w:hint="eastAsia" w:ascii="宋体" w:hAnsi="宋体"/>
          <w:sz w:val="24"/>
          <w:szCs w:val="21"/>
          <w:highlight w:val="none"/>
          <w:u w:val="single"/>
        </w:rPr>
        <w:t xml:space="preserve">（货物名称） </w:t>
      </w:r>
      <w:r>
        <w:rPr>
          <w:rFonts w:hint="eastAsia" w:ascii="宋体" w:hAnsi="宋体"/>
          <w:sz w:val="24"/>
          <w:szCs w:val="21"/>
          <w:highlight w:val="none"/>
        </w:rPr>
        <w:t xml:space="preserve">，制造商为</w:t>
      </w:r>
      <w:r>
        <w:rPr>
          <w:rFonts w:hint="eastAsia" w:ascii="宋体" w:hAnsi="宋体"/>
          <w:sz w:val="24"/>
          <w:szCs w:val="21"/>
          <w:highlight w:val="none"/>
          <w:u w:val="single"/>
        </w:rPr>
        <w:t xml:space="preserve">　（企业名称）　</w:t>
      </w:r>
      <w:r>
        <w:rPr>
          <w:rFonts w:hint="eastAsia" w:ascii="宋体" w:hAnsi="宋体"/>
          <w:sz w:val="24"/>
          <w:szCs w:val="21"/>
          <w:highlight w:val="none"/>
        </w:rPr>
        <w:t xml:space="preserve">，属于残疾人福利性单位； </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2.</w:t>
      </w:r>
      <w:r>
        <w:rPr>
          <w:rFonts w:hint="eastAsia" w:ascii="宋体" w:hAnsi="宋体"/>
          <w:sz w:val="24"/>
          <w:szCs w:val="21"/>
          <w:highlight w:val="none"/>
          <w:u w:val="single"/>
        </w:rPr>
        <w:t xml:space="preserve"> （货物名称） </w:t>
      </w:r>
      <w:r>
        <w:rPr>
          <w:rFonts w:hint="eastAsia" w:ascii="宋体" w:hAnsi="宋体"/>
          <w:sz w:val="24"/>
          <w:szCs w:val="21"/>
          <w:highlight w:val="none"/>
        </w:rPr>
        <w:t xml:space="preserve">，制造商为</w:t>
      </w:r>
      <w:r>
        <w:rPr>
          <w:rFonts w:hint="eastAsia" w:ascii="宋体" w:hAnsi="宋体"/>
          <w:sz w:val="24"/>
          <w:szCs w:val="21"/>
          <w:highlight w:val="none"/>
          <w:u w:val="single"/>
        </w:rPr>
        <w:t xml:space="preserve">　（企业名称）　</w:t>
      </w:r>
      <w:r>
        <w:rPr>
          <w:rFonts w:hint="eastAsia" w:ascii="宋体" w:hAnsi="宋体"/>
          <w:sz w:val="24"/>
          <w:szCs w:val="21"/>
          <w:highlight w:val="none"/>
        </w:rPr>
        <w:t xml:space="preserve">，属于残疾人福利性单位；</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 …… </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588" w:lineRule="exact"/>
        <w:rPr>
          <w:rFonts w:ascii="宋体" w:hAnsi="宋体"/>
          <w:sz w:val="24"/>
          <w:szCs w:val="21"/>
          <w:highlight w:val="none"/>
        </w:rPr>
      </w:pPr>
      <w:r>
        <w:rPr>
          <w:rFonts w:ascii="宋体" w:hAnsi="宋体"/>
          <w:sz w:val="24"/>
          <w:szCs w:val="21"/>
          <w:highlight w:val="none"/>
        </w:rPr>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624"/>
        <w:jc w:val="center"/>
        <w:spacing w:line="588" w:lineRule="exact"/>
        <w:tabs>
          <w:tab w:val="left" w:pos="4860" w:leader="none"/>
        </w:tabs>
        <w:rPr>
          <w:rFonts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投标人全称（加盖CA电子公章）：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jc w:val="center"/>
        <w:spacing w:line="360" w:lineRule="auto"/>
        <w:rPr>
          <w:rFonts w:ascii="黑体" w:hAnsi="黑体" w:eastAsia="黑体"/>
          <w:b/>
          <w:iCs/>
          <w:sz w:val="32"/>
          <w:szCs w:val="32"/>
          <w:highlight w:val="none"/>
        </w:rPr>
      </w:pPr>
      <w:r>
        <w:rPr>
          <w:rFonts w:hint="eastAsia" w:ascii="黑体" w:hAnsi="黑体" w:eastAsia="黑体"/>
          <w:iCs/>
          <w:sz w:val="32"/>
          <w:szCs w:val="32"/>
          <w:highlight w:val="none"/>
          <w:u w:val="single"/>
        </w:rPr>
        <w:t xml:space="preserve">十一、投标分项报价表</w:t>
      </w:r>
      <w:r/>
    </w:p>
    <w:tbl>
      <w:tblPr>
        <w:tblStyle w:val="943"/>
        <w:tblW w:w="9081"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W w:w="103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96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2</w:t>
            </w:r>
            <w:r/>
          </w:p>
        </w:tc>
        <w:tc>
          <w:tcPr>
            <w:tcW w:w="141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3</w:t>
            </w:r>
            <w:r/>
          </w:p>
        </w:tc>
        <w:tc>
          <w:tcPr>
            <w:tcW w:w="78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4</w:t>
            </w:r>
            <w:r/>
          </w:p>
        </w:tc>
        <w:tc>
          <w:tcPr>
            <w:tcW w:w="98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5</w:t>
            </w:r>
            <w:r/>
          </w:p>
        </w:tc>
        <w:tc>
          <w:tcPr>
            <w:tcW w:w="72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6</w:t>
            </w:r>
            <w:r/>
          </w:p>
        </w:tc>
        <w:tc>
          <w:tcPr>
            <w:tcW w:w="137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7</w:t>
            </w:r>
            <w:r/>
          </w:p>
        </w:tc>
        <w:tc>
          <w:tcPr>
            <w:tcW w:w="124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8</w:t>
            </w:r>
            <w:r/>
          </w:p>
        </w:tc>
      </w:tr>
      <w:tr>
        <w:trPr>
          <w:cantSplit/>
          <w:trHeight w:val="294"/>
        </w:trPr>
        <w:tc>
          <w:tcPr>
            <w:tcW w:w="5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103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产品</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名称</w:t>
            </w:r>
            <w:r/>
          </w:p>
        </w:tc>
        <w:tc>
          <w:tcPr>
            <w:tcW w:w="96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品牌</w:t>
            </w:r>
            <w:r/>
          </w:p>
        </w:tc>
        <w:tc>
          <w:tcPr>
            <w:tcW w:w="141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规格</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型号</w:t>
            </w:r>
            <w:r/>
          </w:p>
        </w:tc>
        <w:tc>
          <w:tcPr>
            <w:tcW w:w="78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产地</w:t>
            </w:r>
            <w:r/>
          </w:p>
        </w:tc>
        <w:tc>
          <w:tcPr>
            <w:tcW w:w="98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交付期</w:t>
            </w:r>
            <w:r/>
          </w:p>
        </w:tc>
        <w:tc>
          <w:tcPr>
            <w:tcW w:w="72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数量</w:t>
            </w:r>
            <w:r/>
          </w:p>
        </w:tc>
        <w:tc>
          <w:tcPr>
            <w:tcW w:w="137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分项单价</w:t>
            </w:r>
            <w:r/>
          </w:p>
        </w:tc>
        <w:tc>
          <w:tcPr>
            <w:tcW w:w="124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2</w:t>
            </w:r>
            <w:r/>
          </w:p>
        </w:tc>
        <w:tc>
          <w:tcPr>
            <w:tcW w:w="103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1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8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27"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724"/>
        </w:trPr>
        <w:tc>
          <w:tcPr>
            <w:tcW w:w="5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3</w:t>
            </w:r>
            <w:r/>
          </w:p>
        </w:tc>
        <w:tc>
          <w:tcPr>
            <w:tcW w:w="103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1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8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27"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4</w:t>
            </w:r>
            <w:r/>
          </w:p>
        </w:tc>
        <w:tc>
          <w:tcPr>
            <w:tcW w:w="103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1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8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27"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580"/>
        </w:trPr>
        <w:tc>
          <w:tcPr>
            <w:tcW w:w="556"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w:t>
            </w:r>
            <w:r/>
          </w:p>
        </w:tc>
        <w:tc>
          <w:tcPr>
            <w:tcW w:w="103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t xml:space="preserve">……</w:t>
            </w:r>
            <w:r/>
          </w:p>
        </w:tc>
        <w:tc>
          <w:tcPr>
            <w:tcW w:w="96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1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8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27"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1030"/>
        </w:trPr>
        <w:tc>
          <w:tcPr>
            <w:gridSpan w:val="8"/>
            <w:tcW w:w="783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投标总报价（人民币：元）</w:t>
            </w:r>
            <w:r/>
          </w:p>
        </w:tc>
        <w:tc>
          <w:tcPr>
            <w:tcW w:w="1246"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sz w:val="24"/>
          <w:szCs w:val="21"/>
          <w:highlight w:val="none"/>
        </w:rPr>
      </w:pPr>
      <w:r>
        <w:rPr>
          <w:rFonts w:hint="eastAsia" w:ascii="宋体" w:hAnsi="宋体"/>
          <w:sz w:val="24"/>
          <w:szCs w:val="24"/>
          <w:highlight w:val="none"/>
        </w:rPr>
        <w:t xml:space="preserve">备注：1.投标报价</w:t>
      </w:r>
      <w:r>
        <w:rPr>
          <w:rFonts w:hint="eastAsia" w:ascii="宋体" w:hAnsi="宋体"/>
          <w:sz w:val="24"/>
          <w:szCs w:val="21"/>
          <w:highlight w:val="none"/>
        </w:rPr>
        <w:t xml:space="preserve">采用总包方式，“投标总报价”应涵盖采购人在招标文件中所要求的所有工作内容。包含了所提供的全部货物、材料、包装物、运杂费（运抵现场）、卸货费、运输保险费、检测费、技术服务费、政策性规定的各项费用以及投标人确认为需要发生的其它费用等，直至交付至采购人使用时所需要的各种费用（包含所有隐含的费用）。2.</w:t>
      </w:r>
      <w:r>
        <w:rPr>
          <w:rFonts w:hint="eastAsia"/>
          <w:szCs w:val="21"/>
          <w:highlight w:val="none"/>
        </w:rPr>
        <w:t xml:space="preserve"> “</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pStyle w:val="1199"/>
        <w:spacing w:line="360" w:lineRule="auto"/>
        <w:rPr>
          <w:color w:val="auto"/>
          <w:highlight w:val="none"/>
        </w:rPr>
      </w:pPr>
      <w:r>
        <w:rPr>
          <w:color w:val="auto"/>
          <w:highlight w:val="none"/>
        </w:rPr>
      </w:r>
      <w:r/>
    </w:p>
    <w:p>
      <w:pPr>
        <w:spacing w:line="360" w:lineRule="auto"/>
        <w:rPr>
          <w:rFonts w:ascii="宋体" w:hAnsi="宋体"/>
          <w:sz w:val="24"/>
          <w:szCs w:val="21"/>
          <w:highlight w:val="none"/>
        </w:rPr>
      </w:pPr>
      <w:r>
        <w:rPr>
          <w:rFonts w:hint="eastAsia" w:ascii="宋体" w:hAnsi="宋体"/>
          <w:sz w:val="24"/>
          <w:szCs w:val="21"/>
          <w:highlight w:val="none"/>
        </w:rPr>
        <w:t xml:space="preserve">投标人（盖章）：</w:t>
      </w:r>
      <w:r/>
    </w:p>
    <w:p>
      <w:pPr>
        <w:spacing w:line="360" w:lineRule="auto"/>
        <w:rPr>
          <w:rFonts w:ascii="宋体" w:hAnsi="宋体"/>
          <w:sz w:val="24"/>
          <w:szCs w:val="21"/>
          <w:highlight w:val="none"/>
        </w:rPr>
      </w:pPr>
      <w:r>
        <w:rPr>
          <w:rFonts w:hint="eastAsia" w:ascii="宋体" w:hAnsi="宋体"/>
          <w:sz w:val="24"/>
          <w:szCs w:val="21"/>
          <w:highlight w:val="none"/>
        </w:rPr>
        <w:t xml:space="preserve">法定代表人或委托代理人（签字或盖章）：</w:t>
      </w:r>
      <w:r/>
    </w:p>
    <w:p>
      <w:pPr>
        <w:spacing w:line="360" w:lineRule="auto"/>
        <w:rPr>
          <w:rFonts w:ascii="宋体" w:hAnsi="宋体"/>
          <w:sz w:val="24"/>
          <w:szCs w:val="21"/>
          <w:highlight w:val="none"/>
        </w:rPr>
      </w:pPr>
      <w:r>
        <w:rPr>
          <w:rFonts w:hint="eastAsia" w:ascii="宋体" w:hAnsi="宋体"/>
          <w:sz w:val="24"/>
          <w:szCs w:val="21"/>
          <w:highlight w:val="none"/>
        </w:rPr>
        <w:t xml:space="preserve">日期：    年     月     日</w:t>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spacing w:line="360" w:lineRule="auto"/>
        <w:rPr>
          <w:rFonts w:ascii="黑体" w:hAnsi="黑体" w:eastAsia="黑体"/>
          <w:b/>
          <w:iCs/>
          <w:sz w:val="32"/>
          <w:szCs w:val="32"/>
          <w:highlight w:val="none"/>
        </w:rPr>
      </w:pPr>
      <w:r>
        <w:rPr>
          <w:rFonts w:hint="eastAsia" w:ascii="黑体" w:hAnsi="黑体" w:eastAsia="黑体"/>
          <w:iCs/>
          <w:sz w:val="32"/>
          <w:szCs w:val="32"/>
          <w:highlight w:val="none"/>
          <w:u w:val="single"/>
        </w:rPr>
        <w:t xml:space="preserve">十二、技术要求响应及偏离表</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按所响应产品的实际技术参数，逐条对应招标文件“项目需求”中要求的技术规范填写该表，该表不能作为所投标产品的技术文件，投标人应在投标文件中单独提供技术文件。</w:t>
      </w:r>
      <w:r/>
    </w:p>
    <w:tbl>
      <w:tblPr>
        <w:tblStyle w:val="943"/>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证明</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w:t>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sz w:val="24"/>
          <w:szCs w:val="24"/>
          <w:highlight w:val="none"/>
        </w:rPr>
      </w:pPr>
      <w:r>
        <w:rPr>
          <w:rFonts w:hint="eastAsia" w:ascii="宋体" w:hAnsi="宋体"/>
          <w:sz w:val="24"/>
          <w:szCs w:val="24"/>
          <w:highlight w:val="none"/>
        </w:rPr>
        <w:t xml:space="preserve">注： 行数不够，可自行添加。</w:t>
      </w:r>
      <w:r/>
    </w:p>
    <w:p>
      <w:pPr>
        <w:jc w:val="center"/>
        <w:spacing w:line="360" w:lineRule="auto"/>
        <w:rPr>
          <w:rFonts w:ascii="黑体" w:hAnsi="Arial" w:eastAsia="黑体"/>
          <w:b/>
          <w:sz w:val="36"/>
          <w:szCs w:val="21"/>
          <w:highlight w:val="none"/>
        </w:rPr>
      </w:pPr>
      <w:r>
        <w:rPr>
          <w:rFonts w:ascii="黑体" w:hAnsi="Arial" w:eastAsia="黑体"/>
          <w:b/>
          <w:sz w:val="36"/>
          <w:szCs w:val="21"/>
          <w:highlight w:val="none"/>
        </w:rPr>
      </w:r>
      <w:r/>
    </w:p>
    <w:p>
      <w:pPr>
        <w:spacing w:line="480" w:lineRule="auto"/>
        <w:rPr>
          <w:rFonts w:ascii="宋体" w:hAnsi="宋体"/>
          <w:sz w:val="24"/>
          <w:szCs w:val="21"/>
          <w:highlight w:val="none"/>
        </w:rPr>
      </w:pPr>
      <w:r>
        <w:rPr>
          <w:rFonts w:hint="eastAsia" w:ascii="宋体" w:hAnsi="宋体"/>
          <w:sz w:val="24"/>
          <w:szCs w:val="21"/>
          <w:highlight w:val="none"/>
        </w:rPr>
        <w:t xml:space="preserve">投标人（盖章）：</w:t>
      </w:r>
      <w:r/>
    </w:p>
    <w:p>
      <w:pPr>
        <w:spacing w:line="480" w:lineRule="auto"/>
        <w:rPr>
          <w:rFonts w:ascii="宋体" w:hAnsi="宋体"/>
          <w:sz w:val="24"/>
          <w:szCs w:val="21"/>
          <w:highlight w:val="none"/>
        </w:rPr>
      </w:pPr>
      <w:r>
        <w:rPr>
          <w:rFonts w:hint="eastAsia" w:ascii="宋体" w:hAnsi="宋体"/>
          <w:sz w:val="24"/>
          <w:szCs w:val="21"/>
          <w:highlight w:val="none"/>
        </w:rPr>
        <w:t xml:space="preserve">法定代表人或委托代理人（签字或盖章）：</w:t>
      </w:r>
      <w:r/>
    </w:p>
    <w:p>
      <w:pPr>
        <w:spacing w:line="480" w:lineRule="auto"/>
        <w:rPr>
          <w:rFonts w:ascii="宋体" w:hAnsi="宋体"/>
          <w:sz w:val="24"/>
          <w:szCs w:val="21"/>
          <w:highlight w:val="none"/>
        </w:rPr>
      </w:pPr>
      <w:r>
        <w:rPr>
          <w:rFonts w:hint="eastAsia" w:ascii="宋体" w:hAnsi="宋体"/>
          <w:sz w:val="24"/>
          <w:szCs w:val="21"/>
          <w:highlight w:val="none"/>
        </w:rPr>
        <w:t xml:space="preserve">日期：    年     月     日</w:t>
      </w:r>
      <w:r/>
    </w:p>
    <w:p>
      <w:pP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bookmarkEnd w:id="307"/>
      <w:r/>
      <w:r/>
    </w:p>
    <w:p>
      <w:pPr>
        <w:rPr>
          <w:rFonts w:ascii="黑体" w:hAnsi="Arial" w:eastAsia="黑体"/>
          <w:sz w:val="32"/>
          <w:szCs w:val="21"/>
          <w:highlight w:val="none"/>
        </w:rPr>
      </w:pPr>
      <w:r>
        <w:rPr>
          <w:rFonts w:ascii="黑体" w:hAnsi="Arial" w:eastAsia="黑体"/>
          <w:sz w:val="32"/>
          <w:szCs w:val="21"/>
          <w:highlight w:val="none"/>
        </w:rPr>
      </w:r>
      <w:r/>
    </w:p>
    <w:p>
      <w:pPr>
        <w:jc w:val="center"/>
        <w:rPr>
          <w:rFonts w:ascii="黑体" w:hAnsi="黑体" w:eastAsia="黑体"/>
          <w:i/>
          <w:sz w:val="32"/>
          <w:szCs w:val="32"/>
          <w:highlight w:val="none"/>
          <w:u w:val="single"/>
        </w:rPr>
      </w:pPr>
      <w:r/>
      <w:bookmarkStart w:id="313" w:name="_Hlt26955054"/>
      <w:r/>
      <w:bookmarkEnd w:id="313"/>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spacing w:line="360" w:lineRule="auto"/>
        <w:rPr>
          <w:rFonts w:ascii="黑体" w:hAnsi="黑体" w:eastAsia="黑体"/>
          <w:b/>
          <w:iCs/>
          <w:sz w:val="32"/>
          <w:szCs w:val="32"/>
          <w:highlight w:val="none"/>
        </w:rPr>
      </w:pPr>
      <w:r>
        <w:rPr>
          <w:rFonts w:hint="eastAsia" w:ascii="黑体" w:hAnsi="黑体" w:eastAsia="黑体"/>
          <w:iCs/>
          <w:sz w:val="32"/>
          <w:szCs w:val="32"/>
          <w:highlight w:val="none"/>
          <w:u w:val="single"/>
        </w:rPr>
        <w:t xml:space="preserve">十三、商务要求响应及偏离表</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请</w:t>
      </w:r>
      <w:r>
        <w:rPr>
          <w:rFonts w:hint="eastAsia" w:ascii="宋体" w:hAnsi="宋体" w:cs="宋体"/>
          <w:b/>
          <w:sz w:val="24"/>
          <w:szCs w:val="24"/>
          <w:highlight w:val="none"/>
        </w:rPr>
        <w:t xml:space="preserve">逐条</w:t>
      </w:r>
      <w:r>
        <w:rPr>
          <w:rFonts w:hint="eastAsia" w:ascii="宋体" w:hAnsi="宋体" w:cs="宋体"/>
          <w:bCs/>
          <w:sz w:val="24"/>
          <w:szCs w:val="24"/>
          <w:highlight w:val="none"/>
        </w:rPr>
        <w:t xml:space="preserve">对应招标文件“项目需求”等内容要求的商务条件，填写该表</w:t>
      </w:r>
      <w:r/>
    </w:p>
    <w:tbl>
      <w:tblPr>
        <w:tblStyle w:val="943"/>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jc w:val="center"/>
              <w:spacing w:line="360" w:lineRule="auto"/>
              <w:rPr>
                <w:rFonts w:ascii="宋体" w:hAnsi="宋体"/>
                <w:sz w:val="24"/>
                <w:szCs w:val="24"/>
                <w:highlight w:val="none"/>
              </w:rPr>
            </w:pPr>
            <w:r/>
            <w:bookmarkStart w:id="314" w:name="_Hlt26609391"/>
            <w:r/>
            <w:bookmarkEnd w:id="314"/>
            <w:r/>
            <w:bookmarkStart w:id="315" w:name="_Hlt26955064"/>
            <w:r/>
            <w:bookmarkEnd w:id="315"/>
            <w:r/>
            <w:bookmarkStart w:id="316" w:name="_Hlt24879081"/>
            <w:r/>
            <w:bookmarkEnd w:id="316"/>
            <w:r/>
            <w:bookmarkStart w:id="317" w:name="_Hlt26671372"/>
            <w:r/>
            <w:bookmarkEnd w:id="317"/>
            <w:r/>
            <w:bookmarkStart w:id="318" w:name="_Hlt26955056"/>
            <w:r/>
            <w:bookmarkEnd w:id="318"/>
            <w:r/>
            <w:bookmarkStart w:id="319" w:name="_Hlt26671343"/>
            <w:r/>
            <w:bookmarkEnd w:id="319"/>
            <w:r/>
            <w:bookmarkStart w:id="320" w:name="_Hlt26580838"/>
            <w:r/>
            <w:bookmarkEnd w:id="320"/>
            <w:r/>
            <w:bookmarkStart w:id="321" w:name="_Hlt26782999"/>
            <w:r/>
            <w:bookmarkEnd w:id="321"/>
            <w:r>
              <w:rPr>
                <w:rFonts w:hint="eastAsia" w:ascii="宋体" w:hAnsi="宋体"/>
                <w:sz w:val="24"/>
                <w:szCs w:val="24"/>
                <w:highlight w:val="none"/>
              </w:rPr>
              <w:t xml:space="preserve">序号</w:t>
            </w:r>
            <w:r/>
          </w:p>
        </w:tc>
        <w:tc>
          <w:tcPr>
            <w:tcW w:w="310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证明</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w:t>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sz w:val="24"/>
          <w:szCs w:val="24"/>
          <w:highlight w:val="none"/>
        </w:rPr>
      </w:pPr>
      <w:r>
        <w:rPr>
          <w:rFonts w:hint="eastAsia" w:ascii="宋体" w:hAnsi="宋体"/>
          <w:sz w:val="24"/>
          <w:szCs w:val="24"/>
          <w:highlight w:val="none"/>
        </w:rPr>
        <w:t xml:space="preserve">注： 行数不够，可自行添加。</w:t>
      </w:r>
      <w:r/>
    </w:p>
    <w:p>
      <w:pPr>
        <w:spacing w:line="360" w:lineRule="auto"/>
        <w:rPr>
          <w:rFonts w:ascii="宋体" w:hAnsi="宋体"/>
          <w:sz w:val="24"/>
          <w:szCs w:val="21"/>
          <w:highlight w:val="none"/>
        </w:rPr>
      </w:pPr>
      <w:r>
        <w:rPr>
          <w:rFonts w:ascii="宋体" w:hAnsi="宋体"/>
          <w:sz w:val="24"/>
          <w:szCs w:val="21"/>
          <w:highlight w:val="none"/>
        </w:rPr>
      </w:r>
      <w:r/>
    </w:p>
    <w:p>
      <w:pPr>
        <w:spacing w:line="360" w:lineRule="auto"/>
        <w:rPr>
          <w:rFonts w:ascii="宋体" w:hAnsi="宋体"/>
          <w:sz w:val="24"/>
          <w:szCs w:val="21"/>
          <w:highlight w:val="none"/>
        </w:rPr>
      </w:pPr>
      <w:r>
        <w:rPr>
          <w:rFonts w:hint="eastAsia" w:ascii="宋体" w:hAnsi="宋体"/>
          <w:sz w:val="24"/>
          <w:szCs w:val="21"/>
          <w:highlight w:val="none"/>
        </w:rPr>
        <w:t xml:space="preserve">投标人（盖章）：</w:t>
      </w:r>
      <w:r/>
    </w:p>
    <w:p>
      <w:pPr>
        <w:spacing w:line="360" w:lineRule="auto"/>
        <w:rPr>
          <w:rFonts w:ascii="宋体" w:hAnsi="宋体"/>
          <w:sz w:val="24"/>
          <w:szCs w:val="21"/>
          <w:highlight w:val="none"/>
        </w:rPr>
      </w:pPr>
      <w:r>
        <w:rPr>
          <w:rFonts w:hint="eastAsia" w:ascii="宋体" w:hAnsi="宋体"/>
          <w:sz w:val="24"/>
          <w:szCs w:val="21"/>
          <w:highlight w:val="none"/>
        </w:rPr>
        <w:t xml:space="preserve">法定代表人或委托代理人（签字或盖章）：</w:t>
      </w:r>
      <w:r/>
    </w:p>
    <w:p>
      <w:pPr>
        <w:spacing w:line="360" w:lineRule="auto"/>
        <w:rPr>
          <w:rFonts w:ascii="宋体" w:hAnsi="宋体"/>
          <w:sz w:val="24"/>
          <w:szCs w:val="21"/>
          <w:highlight w:val="none"/>
        </w:rPr>
      </w:pPr>
      <w:r>
        <w:rPr>
          <w:rFonts w:hint="eastAsia" w:ascii="宋体" w:hAnsi="宋体"/>
          <w:sz w:val="24"/>
          <w:szCs w:val="21"/>
          <w:highlight w:val="none"/>
        </w:rPr>
        <w:t xml:space="preserve">日期：    年     月     日</w:t>
      </w:r>
      <w:r/>
    </w:p>
    <w:p>
      <w:pPr>
        <w:spacing w:line="360" w:lineRule="auto"/>
        <w:rPr>
          <w:rFonts w:ascii="宋体" w:hAnsi="宋体"/>
          <w:sz w:val="24"/>
          <w:szCs w:val="21"/>
          <w:highlight w:val="none"/>
        </w:rPr>
      </w:pPr>
      <w:r>
        <w:rPr>
          <w:rFonts w:ascii="宋体" w:hAnsi="宋体"/>
          <w:sz w:val="24"/>
          <w:szCs w:val="21"/>
          <w:highlight w:val="none"/>
        </w:rPr>
      </w:r>
      <w:r/>
    </w:p>
    <w:p>
      <w:pPr>
        <w:spacing w:line="360" w:lineRule="auto"/>
        <w:rPr>
          <w:rFonts w:ascii="宋体" w:hAnsi="宋体"/>
          <w:sz w:val="24"/>
          <w:szCs w:val="21"/>
          <w:highlight w:val="none"/>
        </w:rPr>
      </w:pPr>
      <w:r>
        <w:rPr>
          <w:rFonts w:ascii="宋体" w:hAnsi="宋体"/>
          <w:sz w:val="24"/>
          <w:szCs w:val="21"/>
          <w:highlight w:val="none"/>
        </w:rPr>
      </w:r>
      <w:r/>
    </w:p>
    <w:p>
      <w:pPr>
        <w:spacing w:line="480" w:lineRule="auto"/>
        <w:rPr>
          <w:rFonts w:ascii="仿宋_GB2312" w:hAnsi="Arial"/>
          <w:sz w:val="30"/>
          <w:szCs w:val="21"/>
          <w:highlight w:val="none"/>
        </w:rPr>
      </w:pPr>
      <w:r>
        <w:rPr>
          <w:rFonts w:ascii="仿宋_GB2312" w:hAnsi="Arial"/>
          <w:sz w:val="30"/>
          <w:szCs w:val="21"/>
          <w:highlight w:val="none"/>
        </w:rPr>
      </w:r>
      <w:bookmarkEnd w:id="281"/>
      <w:r/>
      <w:bookmarkEnd w:id="282"/>
      <w:r/>
      <w:r/>
    </w:p>
    <w:p>
      <w:pPr>
        <w:spacing w:line="480" w:lineRule="auto"/>
        <w:rPr>
          <w:rFonts w:ascii="仿宋_GB2312" w:hAnsi="Arial"/>
          <w:sz w:val="30"/>
          <w:szCs w:val="21"/>
          <w:highlight w:val="none"/>
        </w:rPr>
      </w:pPr>
      <w:r>
        <w:rPr>
          <w:rFonts w:ascii="仿宋_GB2312" w:hAnsi="Arial"/>
          <w:sz w:val="30"/>
          <w:szCs w:val="21"/>
          <w:highlight w:val="none"/>
        </w:rPr>
      </w:r>
      <w:r/>
    </w:p>
    <w:p>
      <w:pPr>
        <w:rPr>
          <w:rFonts w:ascii="黑体" w:hAnsi="黑体" w:eastAsia="黑体"/>
          <w:b/>
          <w:sz w:val="32"/>
          <w:szCs w:val="32"/>
          <w:highlight w:val="none"/>
        </w:rPr>
      </w:pPr>
      <w:r/>
      <w:bookmarkStart w:id="322" w:name="_Hlt26671374"/>
      <w:r/>
      <w:bookmarkEnd w:id="322"/>
      <w:r/>
      <w:bookmarkStart w:id="323" w:name="_Hlt26609389"/>
      <w:r/>
      <w:bookmarkEnd w:id="323"/>
      <w:r/>
      <w:bookmarkStart w:id="324" w:name="_格式2__法定代表人授权书"/>
      <w:r/>
      <w:bookmarkEnd w:id="324"/>
      <w:r/>
      <w:bookmarkStart w:id="325" w:name="_Hlt26955066"/>
      <w:r/>
      <w:bookmarkEnd w:id="325"/>
      <w:r/>
      <w:r/>
    </w:p>
    <w:p>
      <w:pPr>
        <w:rPr>
          <w:rFonts w:ascii="黑体" w:hAnsi="黑体" w:eastAsia="黑体"/>
          <w:b/>
          <w:sz w:val="32"/>
          <w:szCs w:val="32"/>
          <w:highlight w:val="none"/>
        </w:rPr>
      </w:pPr>
      <w:r>
        <w:rPr>
          <w:rFonts w:ascii="黑体" w:hAnsi="黑体" w:eastAsia="黑体"/>
          <w:b/>
          <w:sz w:val="32"/>
          <w:szCs w:val="32"/>
          <w:highlight w:val="none"/>
        </w:rPr>
      </w:r>
      <w:r/>
    </w:p>
    <w:p>
      <w:pPr>
        <w:jc w:val="center"/>
        <w:keepLines/>
        <w:keepNext/>
        <w:spacing w:before="260" w:after="260" w:line="416" w:lineRule="auto"/>
        <w:rPr>
          <w:rFonts w:ascii="黑体" w:hAnsi="黑体" w:eastAsia="黑体"/>
          <w:iCs/>
          <w:sz w:val="32"/>
          <w:szCs w:val="32"/>
          <w:highlight w:val="none"/>
          <w:u w:val="single"/>
        </w:rPr>
        <w:outlineLvl w:val="1"/>
      </w:pPr>
      <w:r/>
      <w:bookmarkStart w:id="326" w:name="_Toc3159"/>
      <w:r/>
      <w:bookmarkStart w:id="327" w:name="_Toc32402"/>
      <w:r/>
      <w:bookmarkStart w:id="328" w:name="_Toc29752"/>
      <w:r/>
      <w:bookmarkStart w:id="329" w:name="_Toc29325"/>
      <w:r/>
      <w:bookmarkStart w:id="330" w:name="_Toc5862"/>
      <w:r>
        <w:rPr>
          <w:rFonts w:hint="eastAsia" w:ascii="黑体" w:hAnsi="黑体" w:eastAsia="黑体"/>
          <w:iCs/>
          <w:sz w:val="32"/>
          <w:szCs w:val="32"/>
          <w:highlight w:val="none"/>
          <w:u w:val="single"/>
        </w:rPr>
        <w:t xml:space="preserve">十四、开标一览表</w:t>
      </w:r>
      <w:bookmarkEnd w:id="326"/>
      <w:r/>
      <w:bookmarkEnd w:id="327"/>
      <w:r/>
      <w:bookmarkEnd w:id="328"/>
      <w:r/>
      <w:bookmarkEnd w:id="329"/>
      <w:r/>
      <w:bookmarkEnd w:id="330"/>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法定代表人或委托代理人（签字或盖章）：</w:t>
      </w:r>
      <w:r/>
    </w:p>
    <w:p>
      <w:pPr>
        <w:ind w:firstLine="480"/>
        <w:spacing w:line="360" w:lineRule="auto"/>
        <w:rPr>
          <w:sz w:val="24"/>
          <w:szCs w:val="24"/>
          <w:highlight w:val="none"/>
        </w:rPr>
      </w:pPr>
      <w:r>
        <w:rPr>
          <w:rFonts w:hint="eastAsia" w:ascii="宋体" w:hAnsi="宋体"/>
          <w:sz w:val="24"/>
          <w:szCs w:val="24"/>
          <w:highlight w:val="none"/>
        </w:rPr>
        <w:t xml:space="preserve">项目名称：</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项目编号：                                  </w:t>
      </w:r>
      <w:r/>
    </w:p>
    <w:tbl>
      <w:tblPr>
        <w:tblStyle w:val="943"/>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ascii="宋体" w:hAnsi="宋体"/>
                <w:sz w:val="24"/>
                <w:szCs w:val="21"/>
                <w:highlight w:val="none"/>
              </w:rPr>
            </w:pPr>
            <w:r>
              <w:rPr>
                <w:rFonts w:hint="eastAsia" w:ascii="宋体" w:hAnsi="宋体" w:cs="宋体"/>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核心产品品牌</w:t>
            </w:r>
            <w:r/>
          </w:p>
        </w:tc>
        <w:tc>
          <w:tcPr>
            <w:tcW w:w="6405" w:type="dxa"/>
            <w:vAlign w:val="center"/>
            <w:textDirection w:val="lrTb"/>
            <w:noWrap w:val="false"/>
          </w:tcPr>
          <w:p>
            <w:pPr>
              <w:jc w:val="left"/>
              <w:spacing w:line="360" w:lineRule="auto"/>
              <w:rPr>
                <w:rFonts w:ascii="宋体" w:hAnsi="宋体" w:cs="宋体"/>
                <w:sz w:val="24"/>
                <w:szCs w:val="24"/>
                <w:highlight w:val="none"/>
              </w:rPr>
            </w:pPr>
            <w:r>
              <w:rPr>
                <w:rFonts w:ascii="宋体" w:hAnsi="宋体" w:cs="宋体"/>
                <w:sz w:val="24"/>
                <w:szCs w:val="24"/>
                <w:highlight w:val="none"/>
              </w:rPr>
            </w:r>
            <w:r/>
          </w:p>
        </w:tc>
      </w:tr>
      <w:tr>
        <w:trPr>
          <w:cantSplit/>
          <w:trHeight w:val="612"/>
        </w:trPr>
        <w:tc>
          <w:tcPr>
            <w:tcW w:w="2481"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交货期</w:t>
            </w:r>
            <w:r/>
          </w:p>
        </w:tc>
        <w:tc>
          <w:tcPr>
            <w:tcW w:w="6405" w:type="dxa"/>
            <w:vAlign w:val="center"/>
            <w:textDirection w:val="lrTb"/>
            <w:noWrap w:val="false"/>
          </w:tcPr>
          <w:p>
            <w:pPr>
              <w:jc w:val="left"/>
              <w:spacing w:line="360" w:lineRule="auto"/>
              <w:rPr>
                <w:rFonts w:ascii="宋体" w:hAnsi="宋体" w:cs="宋体"/>
                <w:sz w:val="24"/>
                <w:szCs w:val="24"/>
                <w:highlight w:val="none"/>
              </w:rPr>
            </w:pPr>
            <w:r>
              <w:rPr>
                <w:rFonts w:ascii="宋体" w:hAnsi="宋体" w:cs="宋体"/>
                <w:sz w:val="24"/>
                <w:szCs w:val="24"/>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spacing w:line="360" w:lineRule="auto"/>
        <w:rPr>
          <w:rFonts w:ascii="黑体" w:hAnsi="黑体" w:eastAsia="黑体"/>
          <w:b/>
          <w:sz w:val="32"/>
          <w:szCs w:val="32"/>
          <w:highlight w:val="none"/>
        </w:rPr>
      </w:pPr>
      <w:r>
        <w:rPr>
          <w:rFonts w:ascii="黑体" w:hAnsi="黑体" w:eastAsia="黑体"/>
          <w:b/>
          <w:sz w:val="32"/>
          <w:szCs w:val="32"/>
          <w:highlight w:val="none"/>
        </w:rPr>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pStyle w:val="1199"/>
        <w:rPr>
          <w:rFonts w:ascii="宋体" w:hAnsi="宋体"/>
          <w:color w:val="auto"/>
          <w:highlight w:val="none"/>
        </w:rPr>
      </w:pPr>
      <w:r>
        <w:rPr>
          <w:rFonts w:ascii="宋体" w:hAnsi="宋体"/>
          <w:color w:val="auto"/>
          <w:highlight w:val="none"/>
        </w:rPr>
      </w:r>
      <w:r/>
    </w:p>
    <w:p>
      <w:pPr>
        <w:pStyle w:val="1199"/>
        <w:rPr>
          <w:rFonts w:ascii="宋体" w:hAnsi="宋体"/>
          <w:color w:val="auto"/>
          <w:highlight w:val="none"/>
        </w:rPr>
      </w:pPr>
      <w:r>
        <w:rPr>
          <w:rFonts w:ascii="宋体" w:hAnsi="宋体"/>
          <w:color w:val="auto"/>
          <w:highlight w:val="none"/>
        </w:rPr>
      </w:r>
      <w:r/>
    </w:p>
    <w:p>
      <w:pPr>
        <w:pStyle w:val="1199"/>
        <w:rPr>
          <w:rFonts w:ascii="宋体" w:hAnsi="宋体"/>
          <w:color w:val="auto"/>
          <w:highlight w:val="none"/>
        </w:rPr>
      </w:pPr>
      <w:r>
        <w:rPr>
          <w:rFonts w:ascii="宋体" w:hAnsi="宋体"/>
          <w:color w:val="auto"/>
          <w:highlight w:val="none"/>
        </w:rPr>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keepLines/>
        <w:keepNext/>
        <w:spacing w:before="260" w:after="260" w:line="416" w:lineRule="auto"/>
        <w:rPr>
          <w:rFonts w:ascii="黑体" w:hAnsi="黑体" w:eastAsia="黑体"/>
          <w:i/>
          <w:sz w:val="32"/>
          <w:szCs w:val="32"/>
          <w:highlight w:val="none"/>
          <w:u w:val="single"/>
        </w:rPr>
        <w:outlineLvl w:val="1"/>
      </w:pPr>
      <w:r/>
      <w:bookmarkStart w:id="331" w:name="_Toc9165"/>
      <w:r/>
      <w:bookmarkStart w:id="332" w:name="_Toc21690"/>
      <w:r/>
      <w:bookmarkStart w:id="333" w:name="_Toc1791"/>
      <w:r/>
      <w:bookmarkStart w:id="334" w:name="_Toc2804"/>
      <w:r/>
      <w:r/>
    </w:p>
    <w:p>
      <w:pPr>
        <w:pStyle w:val="1200"/>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keepLines/>
        <w:keepNext/>
        <w:spacing w:before="260" w:after="260" w:line="416" w:lineRule="auto"/>
        <w:rPr>
          <w:rFonts w:ascii="黑体" w:hAnsi="黑体" w:eastAsia="黑体"/>
          <w:iCs/>
          <w:sz w:val="32"/>
          <w:szCs w:val="32"/>
          <w:highlight w:val="none"/>
          <w:u w:val="single"/>
        </w:rPr>
        <w:outlineLvl w:val="1"/>
      </w:pPr>
      <w:r/>
      <w:bookmarkStart w:id="335" w:name="_Toc23626"/>
      <w:r>
        <w:rPr>
          <w:rFonts w:hint="eastAsia" w:ascii="黑体" w:hAnsi="黑体" w:eastAsia="黑体"/>
          <w:iCs/>
          <w:sz w:val="32"/>
          <w:szCs w:val="32"/>
          <w:highlight w:val="none"/>
          <w:u w:val="single"/>
        </w:rPr>
        <w:t xml:space="preserve">十五、财务状况报告及税收、社会保障资金缴纳情况承诺函</w:t>
      </w:r>
      <w:bookmarkEnd w:id="331"/>
      <w:r/>
      <w:bookmarkEnd w:id="332"/>
      <w:r/>
      <w:bookmarkEnd w:id="333"/>
      <w:r/>
      <w:bookmarkEnd w:id="334"/>
      <w:r/>
      <w:bookmarkEnd w:id="335"/>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致：</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我方</w:t>
      </w:r>
      <w:r>
        <w:rPr>
          <w:rFonts w:hint="eastAsia" w:ascii="宋体" w:hAnsi="宋体"/>
          <w:sz w:val="24"/>
          <w:szCs w:val="24"/>
          <w:highlight w:val="none"/>
          <w:u w:val="single"/>
        </w:rPr>
        <w:t xml:space="preserve"> 投标人名称 </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（项目编号：</w:t>
      </w:r>
      <w:r>
        <w:rPr>
          <w:rFonts w:hint="eastAsia" w:ascii="宋体" w:hAnsi="宋体"/>
          <w:sz w:val="24"/>
          <w:szCs w:val="24"/>
          <w:highlight w:val="none"/>
          <w:u w:val="single"/>
        </w:rPr>
        <w:t xml:space="preserve">           </w:t>
      </w:r>
      <w:r>
        <w:rPr>
          <w:rFonts w:hint="eastAsia" w:ascii="宋体" w:hAnsi="宋体"/>
          <w:sz w:val="24"/>
          <w:szCs w:val="24"/>
          <w:highlight w:val="none"/>
        </w:rPr>
        <w:t xml:space="preserve">）采购，根据《关于简化政府采购投标人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（1）具有良好的商业信誉和健全的财务会计制度（财务状况报告）；</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（2）有依法缴纳税收和社会保障资金的良好记录。</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特此承诺</w:t>
      </w:r>
      <w:r/>
    </w:p>
    <w:p>
      <w:pPr>
        <w:ind w:firstLine="360"/>
        <w:spacing w:line="560" w:lineRule="exact"/>
        <w:rPr>
          <w:rFonts w:ascii="宋体" w:hAnsi="宋体"/>
          <w:sz w:val="24"/>
          <w:szCs w:val="24"/>
          <w:highlight w:val="none"/>
        </w:rPr>
      </w:pPr>
      <w:r>
        <w:rPr>
          <w:rFonts w:ascii="宋体" w:hAnsi="宋体"/>
          <w:sz w:val="24"/>
          <w:szCs w:val="24"/>
          <w:highlight w:val="none"/>
        </w:rPr>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投标人（盖章）：</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法定代表人或委托代理人（签字或盖章）：</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日期：    年     月     日</w:t>
      </w:r>
      <w:r/>
    </w:p>
    <w:p>
      <w:pPr>
        <w:ind w:right="480" w:firstLine="4920"/>
        <w:rPr>
          <w:rFonts w:ascii="宋体" w:hAnsi="宋体"/>
          <w:sz w:val="24"/>
          <w:highlight w:val="none"/>
        </w:rPr>
      </w:pPr>
      <w:r>
        <w:rPr>
          <w:rFonts w:ascii="宋体" w:hAnsi="宋体"/>
          <w:sz w:val="24"/>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199"/>
        <w:jc w:val="center"/>
        <w:rPr>
          <w:rFonts w:ascii="黑体" w:hAnsi="黑体" w:eastAsia="黑体"/>
          <w:i/>
          <w:color w:val="auto"/>
          <w:sz w:val="32"/>
          <w:szCs w:val="32"/>
          <w:highlight w:val="none"/>
          <w:u w:val="single"/>
        </w:rPr>
      </w:pPr>
      <w:r/>
      <w:bookmarkStart w:id="336" w:name="_Toc15108"/>
      <w:r/>
      <w:bookmarkStart w:id="337" w:name="_Toc3639"/>
      <w:r/>
      <w:bookmarkStart w:id="338" w:name="_Toc2861"/>
      <w:r/>
      <w:bookmarkStart w:id="339" w:name="_Toc5271"/>
      <w:r/>
      <w:r/>
    </w:p>
    <w:p>
      <w:pPr>
        <w:pStyle w:val="1199"/>
        <w:jc w:val="cente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1199"/>
        <w:jc w:val="cente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十六、</w:t>
      </w:r>
      <w:bookmarkEnd w:id="336"/>
      <w:r/>
      <w:bookmarkEnd w:id="337"/>
      <w:r/>
      <w:bookmarkEnd w:id="338"/>
      <w:r/>
      <w:bookmarkEnd w:id="339"/>
      <w:r>
        <w:rPr>
          <w:rFonts w:hint="eastAsia" w:ascii="黑体" w:hAnsi="黑体" w:eastAsia="黑体"/>
          <w:iCs/>
          <w:color w:val="auto"/>
          <w:sz w:val="32"/>
          <w:szCs w:val="32"/>
          <w:highlight w:val="none"/>
          <w:u w:val="single"/>
        </w:rPr>
        <w:t xml:space="preserve">其他材料</w:t>
      </w:r>
      <w:r/>
    </w:p>
    <w:p>
      <w:pPr>
        <w:pStyle w:val="1199"/>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36" w:lineRule="auto"/>
        <w:rPr>
          <w:rFonts w:ascii="宋体" w:hAnsi="宋体" w:cs="仿宋"/>
          <w:b/>
          <w:bCs/>
          <w:sz w:val="32"/>
          <w:szCs w:val="32"/>
          <w:highlight w:val="none"/>
        </w:rPr>
      </w:pPr>
      <w:r>
        <w:rPr>
          <w:rFonts w:hint="eastAsia" w:ascii="宋体" w:hAnsi="宋体"/>
          <w:sz w:val="24"/>
          <w:szCs w:val="24"/>
          <w:highlight w:val="none"/>
        </w:rPr>
        <w:t xml:space="preserve">（请按招标文件要求提供的</w:t>
      </w:r>
      <w:r>
        <w:rPr>
          <w:rFonts w:hint="eastAsia" w:ascii="宋体" w:hAnsi="宋体" w:cs="宋体"/>
          <w:sz w:val="24"/>
          <w:highlight w:val="none"/>
        </w:rPr>
        <w:t xml:space="preserve">企业实力</w:t>
      </w:r>
      <w:r>
        <w:rPr>
          <w:rFonts w:hint="eastAsia" w:ascii="宋体" w:hAnsi="宋体"/>
          <w:sz w:val="24"/>
          <w:szCs w:val="24"/>
          <w:highlight w:val="none"/>
        </w:rPr>
        <w:t xml:space="preserve">、技术指标、产品性能、实施方案、培训方案、</w:t>
      </w:r>
      <w:r>
        <w:rPr>
          <w:rFonts w:hint="eastAsia" w:ascii="宋体" w:hAnsi="宋体" w:cs="宋体"/>
          <w:sz w:val="24"/>
          <w:highlight w:val="none"/>
        </w:rPr>
        <w:t xml:space="preserve">售后服务方案</w:t>
      </w:r>
      <w:r>
        <w:rPr>
          <w:rFonts w:hint="eastAsia" w:ascii="宋体" w:hAnsi="宋体"/>
          <w:sz w:val="24"/>
          <w:szCs w:val="24"/>
          <w:highlight w:val="none"/>
        </w:rPr>
        <w:t xml:space="preserve">及其他要求编制，格式自定）</w:t>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left"/>
        <w:spacing w:line="336" w:lineRule="auto"/>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spacing w:line="520" w:lineRule="exact"/>
        <w:rPr>
          <w:rFonts w:ascii="宋体" w:hAnsi="宋体" w:cs="宋体"/>
          <w:b/>
          <w:bCs/>
          <w:spacing w:val="8"/>
          <w:sz w:val="24"/>
          <w:szCs w:val="24"/>
          <w:highlight w:val="none"/>
        </w:rPr>
        <w:outlineLvl w:val="0"/>
      </w:pPr>
      <w:r/>
      <w:bookmarkStart w:id="340" w:name="_Toc7272"/>
      <w:r>
        <w:rPr>
          <w:rFonts w:ascii="宋体" w:hAnsi="宋体" w:cs="宋体"/>
          <w:b/>
          <w:bCs/>
          <w:spacing w:val="8"/>
          <w:sz w:val="24"/>
          <w:szCs w:val="24"/>
          <w:highlight w:val="none"/>
        </w:rPr>
        <w:t xml:space="preserve">注：</w:t>
      </w:r>
      <w:bookmarkEnd w:id="340"/>
      <w:r/>
      <w:r/>
    </w:p>
    <w:p>
      <w:pPr>
        <w:ind w:firstLine="514"/>
        <w:jc w:val="left"/>
        <w:spacing w:line="360" w:lineRule="auto"/>
        <w:rPr>
          <w:rFonts w:ascii="宋体" w:hAnsi="宋体" w:cs="宋体"/>
          <w:b/>
          <w:bCs/>
          <w:spacing w:val="9"/>
          <w:sz w:val="24"/>
          <w:szCs w:val="24"/>
          <w:highlight w:val="none"/>
        </w:rPr>
      </w:pPr>
      <w:r>
        <w:rPr>
          <w:rFonts w:hint="eastAsia" w:ascii="宋体" w:hAnsi="宋体" w:cs="宋体"/>
          <w:b/>
          <w:bCs/>
          <w:spacing w:val="8"/>
          <w:sz w:val="24"/>
          <w:szCs w:val="24"/>
          <w:highlight w:val="none"/>
        </w:rPr>
        <w:t xml:space="preserve">1、</w:t>
      </w:r>
      <w:r>
        <w:rPr>
          <w:rFonts w:ascii="宋体" w:hAnsi="宋体" w:cs="宋体"/>
          <w:b/>
          <w:bCs/>
          <w:spacing w:val="8"/>
          <w:sz w:val="24"/>
          <w:szCs w:val="24"/>
          <w:highlight w:val="none"/>
        </w:rPr>
        <w:t xml:space="preserve">本项目</w:t>
      </w:r>
      <w:r>
        <w:rPr>
          <w:rFonts w:hint="eastAsia" w:ascii="宋体" w:hAnsi="宋体" w:cs="宋体"/>
          <w:b/>
          <w:bCs/>
          <w:spacing w:val="8"/>
          <w:sz w:val="24"/>
          <w:szCs w:val="24"/>
          <w:highlight w:val="none"/>
        </w:rPr>
        <w:t xml:space="preserve">的</w:t>
      </w:r>
      <w:r>
        <w:rPr>
          <w:rFonts w:ascii="宋体" w:hAnsi="宋体" w:cs="宋体"/>
          <w:b/>
          <w:bCs/>
          <w:spacing w:val="8"/>
          <w:sz w:val="24"/>
          <w:szCs w:val="24"/>
          <w:highlight w:val="none"/>
        </w:rPr>
        <w:t xml:space="preserve">资格评审及评标相关的证明文</w:t>
      </w:r>
      <w:r>
        <w:rPr>
          <w:rFonts w:ascii="宋体" w:hAnsi="宋体" w:cs="宋体"/>
          <w:b/>
          <w:bCs/>
          <w:spacing w:val="7"/>
          <w:sz w:val="24"/>
          <w:szCs w:val="24"/>
          <w:highlight w:val="none"/>
        </w:rPr>
        <w:t xml:space="preserve">件均需提供原件扫描件上传至</w:t>
      </w:r>
      <w:r>
        <w:rPr>
          <w:rFonts w:hint="eastAsia" w:ascii="宋体" w:hAnsi="宋体" w:cs="宋体"/>
          <w:b/>
          <w:bCs/>
          <w:spacing w:val="7"/>
          <w:sz w:val="24"/>
          <w:szCs w:val="24"/>
          <w:highlight w:val="none"/>
        </w:rPr>
        <w:t xml:space="preserve">电子投标</w:t>
      </w:r>
      <w:r>
        <w:rPr>
          <w:rFonts w:ascii="宋体" w:hAnsi="宋体" w:cs="宋体"/>
          <w:b/>
          <w:bCs/>
          <w:spacing w:val="8"/>
          <w:sz w:val="24"/>
          <w:szCs w:val="24"/>
          <w:highlight w:val="none"/>
        </w:rPr>
        <w:t xml:space="preserve">文件中，扫描件需齐全并能清晰辨认</w:t>
      </w:r>
      <w:r>
        <w:rPr>
          <w:rFonts w:hint="eastAsia" w:ascii="宋体" w:hAnsi="宋体" w:cs="宋体"/>
          <w:b/>
          <w:bCs/>
          <w:spacing w:val="8"/>
          <w:sz w:val="24"/>
          <w:szCs w:val="24"/>
          <w:highlight w:val="none"/>
        </w:rPr>
        <w:t xml:space="preserve">且</w:t>
      </w:r>
      <w:r>
        <w:rPr>
          <w:rFonts w:ascii="宋体" w:hAnsi="宋体" w:cs="宋体"/>
          <w:b/>
          <w:bCs/>
          <w:spacing w:val="8"/>
          <w:sz w:val="24"/>
          <w:szCs w:val="24"/>
          <w:highlight w:val="none"/>
        </w:rPr>
        <w:t xml:space="preserve">在有效期内，</w:t>
      </w:r>
      <w:r>
        <w:rPr>
          <w:rFonts w:ascii="宋体" w:hAnsi="宋体" w:cs="宋体"/>
          <w:b/>
          <w:bCs/>
          <w:spacing w:val="7"/>
          <w:sz w:val="24"/>
          <w:szCs w:val="24"/>
          <w:highlight w:val="none"/>
        </w:rPr>
        <w:t xml:space="preserve">提供的与评分相关的证明材料必须能清</w:t>
      </w:r>
      <w:r>
        <w:rPr>
          <w:rFonts w:ascii="宋体" w:hAnsi="宋体" w:cs="宋体"/>
          <w:b/>
          <w:bCs/>
          <w:spacing w:val="9"/>
          <w:sz w:val="24"/>
          <w:szCs w:val="24"/>
          <w:highlight w:val="none"/>
        </w:rPr>
        <w:t xml:space="preserve">晰的表明需要明示的内容，否则由此引起后果自行承担。</w:t>
      </w:r>
      <w:r/>
    </w:p>
    <w:p>
      <w:pPr>
        <w:pStyle w:val="1248"/>
        <w:rPr>
          <w:rFonts w:cs="仿宋"/>
          <w:b/>
          <w:bCs/>
          <w:sz w:val="32"/>
          <w:szCs w:val="32"/>
          <w:highlight w:val="none"/>
        </w:rPr>
        <w:sectPr>
          <w:footerReference w:type="default" r:id="rId19"/>
          <w:footerReference w:type="first" r:id="rId2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eastAsia="宋体" w:cs="宋体"/>
          <w:b/>
          <w:bCs/>
          <w:spacing w:val="8"/>
          <w:szCs w:val="24"/>
          <w:highlight w:val="none"/>
        </w:rPr>
        <w:t xml:space="preserve">2、若标书制作工具中格式和内容与“江苏政府采购网”发布的采购文件不一致，请以“江苏政府采购网”发布的招标采购文件为准。</w:t>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一、质疑投标人基本信息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质疑投标人：</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招标文件获取日期：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1.投标人提出质疑时，应提交质疑函和必要的证明材料。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2.质疑投标人若委托代理人进行质疑的，质疑函应按要求列明“授权代表”的有关内容，并在附件中提交由质疑</w:t>
      </w:r>
      <w:r>
        <w:rPr>
          <w:rFonts w:hint="eastAsia" w:ascii="宋体" w:hAnsi="宋体"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3.质疑投标人若对项目的某一分包进行质疑，质疑函中应列明具体分包号。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20"/>
        <w:rPr>
          <w:sz w:val="24"/>
          <w:szCs w:val="24"/>
          <w:highlight w:val="none"/>
        </w:rPr>
      </w:pPr>
      <w:r>
        <w:rPr>
          <w:sz w:val="24"/>
          <w:szCs w:val="24"/>
          <w:highlight w:val="none"/>
        </w:rPr>
      </w:r>
      <w:r/>
    </w:p>
    <w:p>
      <w:pPr>
        <w:ind w:firstLine="420"/>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sectPr>
      <w:headerReference w:type="default" r:id="rId12"/>
      <w:footerReference w:type="default" r:id="rId21"/>
      <w:footerReference w:type="even" r:id="rId2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62</w:t>
                    </w:r>
                    <w:r>
                      <w:fldChar w:fldCharType="end"/>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rPr>
        <w:rStyle w:val="1195"/>
      </w:rPr>
      <w:framePr w:wrap="around" w:vAnchor="text" w:hAnchor="margin" w:xAlign="center" w:y="1"/>
    </w:pPr>
    <w:r>
      <w:fldChar w:fldCharType="begin"/>
    </w:r>
    <w:r>
      <w:rPr>
        <w:rStyle w:val="1195"/>
      </w:rPr>
      <w:instrText xml:space="preserve">PAGE  </w:instrText>
    </w:r>
    <w:r>
      <w:fldChar w:fldCharType="separate"/>
    </w:r>
    <w:r>
      <w:rPr>
        <w:rStyle w:val="1195"/>
      </w:rPr>
      <w:t xml:space="preserve">1</w:t>
    </w:r>
    <w:r>
      <w:fldChar w:fldCharType="end"/>
    </w:r>
    <w:r/>
  </w:p>
  <w:p>
    <w:pPr>
      <w:pStyle w:val="11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239"/>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pStyle w:val="12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201"/>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1"/>
      <w:isLgl w:val="false"/>
      <w:suff w:val="nothing"/>
      <w:lvlText w:val=""/>
      <w:lvlJc w:val="left"/>
      <w:pPr>
        <w:ind w:left="0" w:firstLine="0"/>
      </w:pPr>
      <w:rPr>
        <w:rFonts w:hint="eastAsia"/>
      </w:rPr>
    </w:lvl>
    <w:lvl w:ilvl="6">
      <w:start w:val="1"/>
      <w:numFmt w:val="decimal"/>
      <w:pStyle w:val="1132"/>
      <w:isLgl w:val="false"/>
      <w:suff w:val="nothing"/>
      <w:lvlText w:val=""/>
      <w:lvlJc w:val="left"/>
      <w:pPr>
        <w:ind w:left="0" w:firstLine="0"/>
      </w:pPr>
      <w:rPr>
        <w:rFonts w:hint="eastAsia"/>
      </w:rPr>
    </w:lvl>
    <w:lvl w:ilvl="7">
      <w:start w:val="1"/>
      <w:numFmt w:val="decimal"/>
      <w:pStyle w:val="1133"/>
      <w:isLgl w:val="false"/>
      <w:suff w:val="nothing"/>
      <w:lvlText w:val=""/>
      <w:lvlJc w:val="left"/>
      <w:pPr>
        <w:ind w:left="0" w:firstLine="0"/>
      </w:pPr>
      <w:rPr>
        <w:rFonts w:hint="eastAsia"/>
      </w:rPr>
    </w:lvl>
    <w:lvl w:ilvl="8">
      <w:start w:val="1"/>
      <w:numFmt w:val="decimal"/>
      <w:pStyle w:val="1134"/>
      <w:isLgl w:val="false"/>
      <w:suff w:val="nothing"/>
      <w:lvlText w:val=""/>
      <w:lvlJc w:val="left"/>
      <w:pPr>
        <w:ind w:left="0" w:firstLine="0"/>
      </w:pPr>
      <w:rPr>
        <w:rFonts w:hint="eastAsia"/>
      </w:rPr>
    </w:lvl>
  </w:abstractNum>
  <w:abstractNum w:abstractNumId="5">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2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5">
    <w:name w:val="Heading 1 Char"/>
    <w:basedOn w:val="942"/>
    <w:link w:val="933"/>
    <w:uiPriority w:val="9"/>
    <w:rPr>
      <w:rFonts w:ascii="Arial" w:hAnsi="Arial" w:eastAsia="Arial" w:cs="Arial"/>
      <w:sz w:val="40"/>
      <w:szCs w:val="40"/>
    </w:rPr>
  </w:style>
  <w:style w:type="character" w:styleId="896">
    <w:name w:val="Heading 2 Char"/>
    <w:basedOn w:val="942"/>
    <w:link w:val="934"/>
    <w:uiPriority w:val="9"/>
    <w:rPr>
      <w:rFonts w:ascii="Arial" w:hAnsi="Arial" w:eastAsia="Arial" w:cs="Arial"/>
      <w:sz w:val="34"/>
    </w:rPr>
  </w:style>
  <w:style w:type="character" w:styleId="897">
    <w:name w:val="Heading 3 Char"/>
    <w:basedOn w:val="942"/>
    <w:link w:val="935"/>
    <w:uiPriority w:val="9"/>
    <w:rPr>
      <w:rFonts w:ascii="Arial" w:hAnsi="Arial" w:eastAsia="Arial" w:cs="Arial"/>
      <w:sz w:val="30"/>
      <w:szCs w:val="30"/>
    </w:rPr>
  </w:style>
  <w:style w:type="character" w:styleId="898">
    <w:name w:val="Heading 4 Char"/>
    <w:basedOn w:val="942"/>
    <w:link w:val="936"/>
    <w:uiPriority w:val="9"/>
    <w:rPr>
      <w:rFonts w:ascii="Arial" w:hAnsi="Arial" w:eastAsia="Arial" w:cs="Arial"/>
      <w:b/>
      <w:bCs/>
      <w:sz w:val="26"/>
      <w:szCs w:val="26"/>
    </w:rPr>
  </w:style>
  <w:style w:type="character" w:styleId="899">
    <w:name w:val="Heading 5 Char"/>
    <w:basedOn w:val="942"/>
    <w:link w:val="937"/>
    <w:uiPriority w:val="9"/>
    <w:rPr>
      <w:rFonts w:ascii="Arial" w:hAnsi="Arial" w:eastAsia="Arial" w:cs="Arial"/>
      <w:b/>
      <w:bCs/>
      <w:sz w:val="24"/>
      <w:szCs w:val="24"/>
    </w:rPr>
  </w:style>
  <w:style w:type="character" w:styleId="900">
    <w:name w:val="Heading 6 Char"/>
    <w:basedOn w:val="942"/>
    <w:link w:val="938"/>
    <w:uiPriority w:val="9"/>
    <w:rPr>
      <w:rFonts w:ascii="Arial" w:hAnsi="Arial" w:eastAsia="Arial" w:cs="Arial"/>
      <w:b/>
      <w:bCs/>
      <w:sz w:val="22"/>
      <w:szCs w:val="22"/>
    </w:rPr>
  </w:style>
  <w:style w:type="character" w:styleId="901">
    <w:name w:val="Heading 7 Char"/>
    <w:basedOn w:val="942"/>
    <w:link w:val="939"/>
    <w:uiPriority w:val="9"/>
    <w:rPr>
      <w:rFonts w:ascii="Arial" w:hAnsi="Arial" w:eastAsia="Arial" w:cs="Arial"/>
      <w:b/>
      <w:bCs/>
      <w:i/>
      <w:iCs/>
      <w:sz w:val="22"/>
      <w:szCs w:val="22"/>
    </w:rPr>
  </w:style>
  <w:style w:type="character" w:styleId="902">
    <w:name w:val="Heading 8 Char"/>
    <w:basedOn w:val="942"/>
    <w:link w:val="940"/>
    <w:uiPriority w:val="9"/>
    <w:rPr>
      <w:rFonts w:ascii="Arial" w:hAnsi="Arial" w:eastAsia="Arial" w:cs="Arial"/>
      <w:i/>
      <w:iCs/>
      <w:sz w:val="22"/>
      <w:szCs w:val="22"/>
    </w:rPr>
  </w:style>
  <w:style w:type="character" w:styleId="903">
    <w:name w:val="Heading 9 Char"/>
    <w:basedOn w:val="942"/>
    <w:link w:val="941"/>
    <w:uiPriority w:val="9"/>
    <w:rPr>
      <w:rFonts w:ascii="Arial" w:hAnsi="Arial" w:eastAsia="Arial" w:cs="Arial"/>
      <w:i/>
      <w:iCs/>
      <w:sz w:val="21"/>
      <w:szCs w:val="21"/>
    </w:rPr>
  </w:style>
  <w:style w:type="character" w:styleId="904">
    <w:name w:val="Title Char"/>
    <w:basedOn w:val="942"/>
    <w:link w:val="966"/>
    <w:uiPriority w:val="10"/>
    <w:rPr>
      <w:sz w:val="48"/>
      <w:szCs w:val="48"/>
    </w:rPr>
  </w:style>
  <w:style w:type="character" w:styleId="905">
    <w:name w:val="Subtitle Char"/>
    <w:basedOn w:val="942"/>
    <w:link w:val="960"/>
    <w:uiPriority w:val="11"/>
    <w:rPr>
      <w:sz w:val="24"/>
      <w:szCs w:val="24"/>
    </w:rPr>
  </w:style>
  <w:style w:type="character" w:styleId="906">
    <w:name w:val="Quote Char"/>
    <w:link w:val="990"/>
    <w:uiPriority w:val="29"/>
    <w:rPr>
      <w:i/>
    </w:rPr>
  </w:style>
  <w:style w:type="character" w:styleId="907">
    <w:name w:val="Intense Quote Char"/>
    <w:link w:val="992"/>
    <w:uiPriority w:val="30"/>
    <w:rPr>
      <w:i/>
    </w:rPr>
  </w:style>
  <w:style w:type="character" w:styleId="908">
    <w:name w:val="Header Char"/>
    <w:basedOn w:val="942"/>
    <w:link w:val="957"/>
    <w:uiPriority w:val="99"/>
  </w:style>
  <w:style w:type="character" w:styleId="909">
    <w:name w:val="Caption Char"/>
    <w:basedOn w:val="945"/>
    <w:link w:val="956"/>
    <w:uiPriority w:val="99"/>
  </w:style>
  <w:style w:type="table" w:styleId="910">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9">
    <w:name w:val="Footnote Text Char"/>
    <w:link w:val="961"/>
    <w:uiPriority w:val="99"/>
    <w:rPr>
      <w:sz w:val="18"/>
    </w:rPr>
  </w:style>
  <w:style w:type="character" w:styleId="930">
    <w:name w:val="Endnote Text Char"/>
    <w:link w:val="954"/>
    <w:uiPriority w:val="99"/>
    <w:rPr>
      <w:sz w:val="20"/>
    </w:rPr>
  </w:style>
  <w:style w:type="paragraph" w:styleId="931">
    <w:name w:val="TOC Heading"/>
    <w:uiPriority w:val="39"/>
    <w:unhideWhenUsed/>
  </w:style>
  <w:style w:type="paragraph" w:styleId="93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33">
    <w:name w:val="Heading 1"/>
    <w:basedOn w:val="932"/>
    <w:next w:val="932"/>
    <w:link w:val="978"/>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979"/>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980"/>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981"/>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982"/>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983"/>
    <w:uiPriority w:val="9"/>
    <w:unhideWhenUsed/>
    <w:qFormat/>
    <w:pPr>
      <w:keepLines/>
      <w:keepNext/>
      <w:spacing w:before="320" w:after="200"/>
      <w:outlineLvl w:val="5"/>
    </w:pPr>
    <w:rPr>
      <w:rFonts w:ascii="Arial" w:hAnsi="Arial" w:eastAsia="Arial" w:cs="Arial"/>
      <w:b/>
      <w:bCs/>
      <w:sz w:val="22"/>
    </w:rPr>
  </w:style>
  <w:style w:type="paragraph" w:styleId="939">
    <w:name w:val="Heading 7"/>
    <w:basedOn w:val="932"/>
    <w:next w:val="932"/>
    <w:link w:val="984"/>
    <w:uiPriority w:val="9"/>
    <w:unhideWhenUsed/>
    <w:qFormat/>
    <w:pPr>
      <w:keepLines/>
      <w:keepNext/>
      <w:spacing w:before="320" w:after="200"/>
      <w:outlineLvl w:val="6"/>
    </w:pPr>
    <w:rPr>
      <w:rFonts w:ascii="Arial" w:hAnsi="Arial" w:eastAsia="Arial" w:cs="Arial"/>
      <w:b/>
      <w:bCs/>
      <w:i/>
      <w:iCs/>
      <w:sz w:val="22"/>
    </w:rPr>
  </w:style>
  <w:style w:type="paragraph" w:styleId="940">
    <w:name w:val="Heading 8"/>
    <w:basedOn w:val="932"/>
    <w:next w:val="932"/>
    <w:link w:val="985"/>
    <w:uiPriority w:val="9"/>
    <w:unhideWhenUsed/>
    <w:qFormat/>
    <w:pPr>
      <w:keepLines/>
      <w:keepNext/>
      <w:spacing w:before="320" w:after="200"/>
      <w:outlineLvl w:val="7"/>
    </w:pPr>
    <w:rPr>
      <w:rFonts w:ascii="Arial" w:hAnsi="Arial" w:eastAsia="Arial" w:cs="Arial"/>
      <w:i/>
      <w:iCs/>
      <w:sz w:val="22"/>
    </w:rPr>
  </w:style>
  <w:style w:type="paragraph" w:styleId="941">
    <w:name w:val="Heading 9"/>
    <w:basedOn w:val="932"/>
    <w:next w:val="932"/>
    <w:link w:val="986"/>
    <w:uiPriority w:val="9"/>
    <w:unhideWhenUsed/>
    <w:qFormat/>
    <w:pPr>
      <w:keepLines/>
      <w:keepNext/>
      <w:spacing w:before="320" w:after="200"/>
      <w:outlineLvl w:val="8"/>
    </w:pPr>
    <w:rPr>
      <w:rFonts w:ascii="Arial" w:hAnsi="Arial" w:eastAsia="Arial" w:cs="Arial"/>
      <w:i/>
      <w:iCs/>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oc 7"/>
    <w:basedOn w:val="932"/>
    <w:next w:val="932"/>
    <w:uiPriority w:val="39"/>
    <w:unhideWhenUsed/>
    <w:qFormat/>
    <w:pPr>
      <w:ind w:left="1701"/>
      <w:spacing w:after="57"/>
    </w:pPr>
  </w:style>
  <w:style w:type="paragraph" w:styleId="945">
    <w:name w:val="Caption"/>
    <w:basedOn w:val="932"/>
    <w:next w:val="932"/>
    <w:uiPriority w:val="35"/>
    <w:semiHidden/>
    <w:unhideWhenUsed/>
    <w:qFormat/>
    <w:pPr>
      <w:spacing w:line="276" w:lineRule="auto"/>
    </w:pPr>
    <w:rPr>
      <w:b/>
      <w:bCs/>
      <w:color w:val="4f81bd" w:themeColor="accent1"/>
      <w:sz w:val="18"/>
      <w:szCs w:val="18"/>
    </w:rPr>
  </w:style>
  <w:style w:type="paragraph" w:styleId="946">
    <w:name w:val="annotation text"/>
    <w:basedOn w:val="932"/>
    <w:link w:val="1254"/>
    <w:uiPriority w:val="99"/>
    <w:semiHidden/>
    <w:unhideWhenUsed/>
    <w:qFormat/>
    <w:pPr>
      <w:jc w:val="left"/>
    </w:pPr>
  </w:style>
  <w:style w:type="paragraph" w:styleId="947">
    <w:name w:val="Body Text"/>
    <w:basedOn w:val="932"/>
    <w:next w:val="948"/>
    <w:uiPriority w:val="99"/>
    <w:qFormat/>
    <w:pPr>
      <w:spacing w:after="120"/>
    </w:pPr>
  </w:style>
  <w:style w:type="paragraph" w:styleId="948">
    <w:name w:val="Date"/>
    <w:basedOn w:val="932"/>
    <w:next w:val="932"/>
    <w:uiPriority w:val="99"/>
    <w:unhideWhenUsed/>
    <w:qFormat/>
    <w:pPr>
      <w:ind w:left="100"/>
    </w:pPr>
  </w:style>
  <w:style w:type="paragraph" w:styleId="949">
    <w:name w:val="Body Text Indent"/>
    <w:basedOn w:val="932"/>
    <w:next w:val="950"/>
    <w:uiPriority w:val="0"/>
    <w:qFormat/>
    <w:pPr>
      <w:ind w:firstLine="645"/>
    </w:pPr>
    <w:rPr>
      <w:rFonts w:ascii="楷体_GB2312" w:eastAsia="楷体_GB2312"/>
      <w:sz w:val="32"/>
      <w:szCs w:val="20"/>
    </w:rPr>
  </w:style>
  <w:style w:type="paragraph" w:styleId="950">
    <w:name w:val="envelope return"/>
    <w:basedOn w:val="932"/>
    <w:uiPriority w:val="0"/>
    <w:qFormat/>
    <w:pPr>
      <w:jc w:val="left"/>
      <w:spacing w:after="200"/>
      <w:widowControl/>
    </w:pPr>
    <w:rPr>
      <w:rFonts w:ascii="Arial" w:hAnsi="Arial" w:eastAsia="微软雅黑"/>
      <w:sz w:val="22"/>
    </w:rPr>
  </w:style>
  <w:style w:type="paragraph" w:styleId="951">
    <w:name w:val="toc 5"/>
    <w:basedOn w:val="932"/>
    <w:next w:val="932"/>
    <w:uiPriority w:val="39"/>
    <w:unhideWhenUsed/>
    <w:qFormat/>
    <w:pPr>
      <w:ind w:left="1134"/>
      <w:spacing w:after="57"/>
    </w:pPr>
  </w:style>
  <w:style w:type="paragraph" w:styleId="952">
    <w:name w:val="toc 3"/>
    <w:basedOn w:val="932"/>
    <w:next w:val="932"/>
    <w:uiPriority w:val="39"/>
    <w:unhideWhenUsed/>
    <w:qFormat/>
    <w:pPr>
      <w:ind w:left="567"/>
      <w:spacing w:after="57"/>
    </w:pPr>
  </w:style>
  <w:style w:type="paragraph" w:styleId="953">
    <w:name w:val="toc 8"/>
    <w:basedOn w:val="932"/>
    <w:next w:val="932"/>
    <w:uiPriority w:val="39"/>
    <w:unhideWhenUsed/>
    <w:qFormat/>
    <w:pPr>
      <w:ind w:left="1984"/>
      <w:spacing w:after="57"/>
    </w:pPr>
  </w:style>
  <w:style w:type="paragraph" w:styleId="954">
    <w:name w:val="endnote text"/>
    <w:basedOn w:val="932"/>
    <w:link w:val="1123"/>
    <w:uiPriority w:val="99"/>
    <w:semiHidden/>
    <w:unhideWhenUsed/>
    <w:qFormat/>
    <w:rPr>
      <w:sz w:val="20"/>
    </w:rPr>
  </w:style>
  <w:style w:type="paragraph" w:styleId="955">
    <w:name w:val="Balloon Text"/>
    <w:basedOn w:val="932"/>
    <w:uiPriority w:val="0"/>
    <w:qFormat/>
    <w:rPr>
      <w:sz w:val="18"/>
      <w:szCs w:val="18"/>
    </w:rPr>
  </w:style>
  <w:style w:type="paragraph" w:styleId="956">
    <w:name w:val="Footer"/>
    <w:basedOn w:val="932"/>
    <w:link w:val="996"/>
    <w:uiPriority w:val="99"/>
    <w:unhideWhenUsed/>
    <w:qFormat/>
    <w:pPr>
      <w:tabs>
        <w:tab w:val="center" w:pos="7143" w:leader="none"/>
        <w:tab w:val="right" w:pos="14287" w:leader="none"/>
      </w:tabs>
    </w:pPr>
  </w:style>
  <w:style w:type="paragraph" w:styleId="957">
    <w:name w:val="Header"/>
    <w:basedOn w:val="932"/>
    <w:link w:val="994"/>
    <w:uiPriority w:val="99"/>
    <w:unhideWhenUsed/>
    <w:qFormat/>
    <w:pPr>
      <w:tabs>
        <w:tab w:val="center" w:pos="7143" w:leader="none"/>
        <w:tab w:val="right" w:pos="14287" w:leader="none"/>
      </w:tabs>
    </w:pPr>
  </w:style>
  <w:style w:type="paragraph" w:styleId="958">
    <w:name w:val="toc 1"/>
    <w:basedOn w:val="932"/>
    <w:next w:val="932"/>
    <w:uiPriority w:val="39"/>
    <w:unhideWhenUsed/>
    <w:qFormat/>
    <w:pPr>
      <w:spacing w:after="57"/>
    </w:pPr>
  </w:style>
  <w:style w:type="paragraph" w:styleId="959">
    <w:name w:val="toc 4"/>
    <w:basedOn w:val="932"/>
    <w:next w:val="932"/>
    <w:uiPriority w:val="39"/>
    <w:unhideWhenUsed/>
    <w:qFormat/>
    <w:pPr>
      <w:ind w:left="850"/>
      <w:spacing w:after="57"/>
    </w:pPr>
  </w:style>
  <w:style w:type="paragraph" w:styleId="960">
    <w:name w:val="Subtitle"/>
    <w:basedOn w:val="932"/>
    <w:next w:val="932"/>
    <w:link w:val="989"/>
    <w:uiPriority w:val="11"/>
    <w:qFormat/>
    <w:pPr>
      <w:spacing w:before="200" w:after="200"/>
    </w:pPr>
    <w:rPr>
      <w:sz w:val="24"/>
      <w:szCs w:val="24"/>
    </w:rPr>
  </w:style>
  <w:style w:type="paragraph" w:styleId="961">
    <w:name w:val="footnote text"/>
    <w:basedOn w:val="932"/>
    <w:link w:val="1122"/>
    <w:uiPriority w:val="99"/>
    <w:semiHidden/>
    <w:unhideWhenUsed/>
    <w:qFormat/>
    <w:pPr>
      <w:spacing w:after="40"/>
    </w:pPr>
    <w:rPr>
      <w:sz w:val="18"/>
    </w:rPr>
  </w:style>
  <w:style w:type="paragraph" w:styleId="962">
    <w:name w:val="toc 6"/>
    <w:basedOn w:val="932"/>
    <w:next w:val="932"/>
    <w:uiPriority w:val="39"/>
    <w:unhideWhenUsed/>
    <w:qFormat/>
    <w:pPr>
      <w:ind w:left="1417"/>
      <w:spacing w:after="57"/>
    </w:pPr>
  </w:style>
  <w:style w:type="paragraph" w:styleId="963">
    <w:name w:val="table of figures"/>
    <w:basedOn w:val="932"/>
    <w:next w:val="932"/>
    <w:uiPriority w:val="99"/>
    <w:unhideWhenUsed/>
    <w:qFormat/>
  </w:style>
  <w:style w:type="paragraph" w:styleId="964">
    <w:name w:val="toc 2"/>
    <w:basedOn w:val="932"/>
    <w:next w:val="932"/>
    <w:uiPriority w:val="39"/>
    <w:unhideWhenUsed/>
    <w:qFormat/>
    <w:pPr>
      <w:ind w:left="283"/>
      <w:spacing w:after="57"/>
    </w:pPr>
  </w:style>
  <w:style w:type="paragraph" w:styleId="965">
    <w:name w:val="toc 9"/>
    <w:basedOn w:val="932"/>
    <w:next w:val="932"/>
    <w:uiPriority w:val="39"/>
    <w:unhideWhenUsed/>
    <w:qFormat/>
    <w:pPr>
      <w:ind w:left="2268"/>
      <w:spacing w:after="57"/>
    </w:pPr>
  </w:style>
  <w:style w:type="paragraph" w:styleId="966">
    <w:name w:val="Title"/>
    <w:basedOn w:val="932"/>
    <w:next w:val="932"/>
    <w:link w:val="988"/>
    <w:uiPriority w:val="10"/>
    <w:qFormat/>
    <w:pPr>
      <w:contextualSpacing/>
      <w:spacing w:before="300" w:after="200"/>
    </w:pPr>
    <w:rPr>
      <w:sz w:val="48"/>
      <w:szCs w:val="48"/>
    </w:rPr>
  </w:style>
  <w:style w:type="paragraph" w:styleId="967">
    <w:name w:val="annotation subject"/>
    <w:basedOn w:val="946"/>
    <w:next w:val="946"/>
    <w:link w:val="1255"/>
    <w:uiPriority w:val="99"/>
    <w:semiHidden/>
    <w:unhideWhenUsed/>
    <w:qFormat/>
    <w:rPr>
      <w:b/>
      <w:bCs/>
    </w:rPr>
  </w:style>
  <w:style w:type="paragraph" w:styleId="968">
    <w:name w:val="Body Text First Indent 2"/>
    <w:basedOn w:val="949"/>
    <w:uiPriority w:val="99"/>
    <w:qFormat/>
    <w:pPr>
      <w:ind w:left="420" w:firstLine="420"/>
      <w:spacing w:after="120"/>
      <w:tabs>
        <w:tab w:val="left" w:pos="1080" w:leader="none"/>
      </w:tabs>
    </w:pPr>
    <w:rPr>
      <w:rFonts w:ascii="Times New Roman"/>
      <w:szCs w:val="24"/>
    </w:rPr>
  </w:style>
  <w:style w:type="table" w:styleId="9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endnote reference"/>
    <w:uiPriority w:val="99"/>
    <w:semiHidden/>
    <w:unhideWhenUsed/>
    <w:qFormat/>
    <w:rPr>
      <w:vertAlign w:val="superscript"/>
    </w:rPr>
  </w:style>
  <w:style w:type="character" w:styleId="971">
    <w:name w:val="Hyperlink"/>
    <w:uiPriority w:val="99"/>
    <w:unhideWhenUsed/>
    <w:qFormat/>
    <w:rPr>
      <w:color w:val="0000ff" w:themeColor="hyperlink"/>
      <w:u w:val="single"/>
    </w:rPr>
  </w:style>
  <w:style w:type="character" w:styleId="972">
    <w:name w:val="annotation reference"/>
    <w:basedOn w:val="942"/>
    <w:uiPriority w:val="99"/>
    <w:semiHidden/>
    <w:unhideWhenUsed/>
    <w:qFormat/>
    <w:rPr>
      <w:sz w:val="21"/>
      <w:szCs w:val="21"/>
    </w:rPr>
  </w:style>
  <w:style w:type="character" w:styleId="973">
    <w:name w:val="footnote reference"/>
    <w:uiPriority w:val="99"/>
    <w:unhideWhenUsed/>
    <w:qFormat/>
    <w:rPr>
      <w:vertAlign w:val="superscript"/>
    </w:rPr>
  </w:style>
  <w:style w:type="paragraph" w:styleId="974" w:customStyle="1">
    <w:name w:val="Body Text First Indent 21"/>
    <w:basedOn w:val="949"/>
    <w:uiPriority w:val="0"/>
    <w:qFormat/>
    <w:pPr>
      <w:ind w:firstLine="420"/>
    </w:pPr>
  </w:style>
  <w:style w:type="paragraph" w:styleId="975" w:customStyle="1">
    <w:name w:val="正文首行缩进 21"/>
    <w:basedOn w:val="976"/>
    <w:link w:val="1192"/>
    <w:uiPriority w:val="0"/>
    <w:qFormat/>
    <w:pPr>
      <w:ind w:left="0" w:firstLine="420"/>
      <w:spacing w:after="0" w:line="360" w:lineRule="auto"/>
    </w:pPr>
    <w:rPr>
      <w:rFonts w:ascii="宋体" w:hAnsi="宋体"/>
      <w:szCs w:val="20"/>
    </w:rPr>
  </w:style>
  <w:style w:type="paragraph" w:styleId="976" w:customStyle="1">
    <w:name w:val="正文文本缩进1"/>
    <w:basedOn w:val="932"/>
    <w:next w:val="977"/>
    <w:link w:val="1157"/>
    <w:uiPriority w:val="0"/>
    <w:unhideWhenUsed/>
    <w:qFormat/>
    <w:pPr>
      <w:ind w:left="420"/>
      <w:spacing w:after="120"/>
    </w:pPr>
  </w:style>
  <w:style w:type="paragraph" w:styleId="977" w:customStyle="1">
    <w:name w:val="寄信人地址1"/>
    <w:basedOn w:val="932"/>
    <w:uiPriority w:val="0"/>
    <w:qFormat/>
    <w:pPr>
      <w:jc w:val="left"/>
      <w:spacing w:after="200"/>
      <w:widowControl/>
    </w:pPr>
    <w:rPr>
      <w:rFonts w:ascii="Arial" w:hAnsi="Arial" w:eastAsia="微软雅黑"/>
      <w:sz w:val="22"/>
    </w:rPr>
  </w:style>
  <w:style w:type="character" w:styleId="978" w:customStyle="1">
    <w:name w:val="标题 1 Char"/>
    <w:link w:val="933"/>
    <w:uiPriority w:val="9"/>
    <w:qFormat/>
    <w:rPr>
      <w:rFonts w:ascii="Arial" w:hAnsi="Arial" w:eastAsia="Arial" w:cs="Arial"/>
      <w:sz w:val="40"/>
      <w:szCs w:val="40"/>
    </w:rPr>
  </w:style>
  <w:style w:type="character" w:styleId="979" w:customStyle="1">
    <w:name w:val="标题 2 Char"/>
    <w:link w:val="934"/>
    <w:uiPriority w:val="9"/>
    <w:qFormat/>
    <w:rPr>
      <w:rFonts w:ascii="Arial" w:hAnsi="Arial" w:eastAsia="Arial" w:cs="Arial"/>
      <w:sz w:val="34"/>
    </w:rPr>
  </w:style>
  <w:style w:type="character" w:styleId="980" w:customStyle="1">
    <w:name w:val="标题 3 Char"/>
    <w:link w:val="935"/>
    <w:uiPriority w:val="9"/>
    <w:qFormat/>
    <w:rPr>
      <w:rFonts w:ascii="Arial" w:hAnsi="Arial" w:eastAsia="Arial" w:cs="Arial"/>
      <w:sz w:val="30"/>
      <w:szCs w:val="30"/>
    </w:rPr>
  </w:style>
  <w:style w:type="character" w:styleId="981" w:customStyle="1">
    <w:name w:val="标题 4 Char"/>
    <w:link w:val="936"/>
    <w:uiPriority w:val="9"/>
    <w:qFormat/>
    <w:rPr>
      <w:rFonts w:ascii="Arial" w:hAnsi="Arial" w:eastAsia="Arial" w:cs="Arial"/>
      <w:b/>
      <w:bCs/>
      <w:sz w:val="26"/>
      <w:szCs w:val="26"/>
    </w:rPr>
  </w:style>
  <w:style w:type="character" w:styleId="982" w:customStyle="1">
    <w:name w:val="标题 5 Char"/>
    <w:link w:val="937"/>
    <w:uiPriority w:val="9"/>
    <w:qFormat/>
    <w:rPr>
      <w:rFonts w:ascii="Arial" w:hAnsi="Arial" w:eastAsia="Arial" w:cs="Arial"/>
      <w:b/>
      <w:bCs/>
      <w:sz w:val="24"/>
      <w:szCs w:val="24"/>
    </w:rPr>
  </w:style>
  <w:style w:type="character" w:styleId="983" w:customStyle="1">
    <w:name w:val="标题 6 Char"/>
    <w:link w:val="938"/>
    <w:uiPriority w:val="9"/>
    <w:qFormat/>
    <w:rPr>
      <w:rFonts w:ascii="Arial" w:hAnsi="Arial" w:eastAsia="Arial" w:cs="Arial"/>
      <w:b/>
      <w:bCs/>
      <w:sz w:val="22"/>
      <w:szCs w:val="22"/>
    </w:rPr>
  </w:style>
  <w:style w:type="character" w:styleId="984" w:customStyle="1">
    <w:name w:val="标题 7 Char"/>
    <w:link w:val="939"/>
    <w:uiPriority w:val="9"/>
    <w:qFormat/>
    <w:rPr>
      <w:rFonts w:ascii="Arial" w:hAnsi="Arial" w:eastAsia="Arial" w:cs="Arial"/>
      <w:b/>
      <w:bCs/>
      <w:i/>
      <w:iCs/>
      <w:sz w:val="22"/>
      <w:szCs w:val="22"/>
    </w:rPr>
  </w:style>
  <w:style w:type="character" w:styleId="985" w:customStyle="1">
    <w:name w:val="标题 8 Char"/>
    <w:link w:val="940"/>
    <w:uiPriority w:val="9"/>
    <w:qFormat/>
    <w:rPr>
      <w:rFonts w:ascii="Arial" w:hAnsi="Arial" w:eastAsia="Arial" w:cs="Arial"/>
      <w:i/>
      <w:iCs/>
      <w:sz w:val="22"/>
      <w:szCs w:val="22"/>
    </w:rPr>
  </w:style>
  <w:style w:type="character" w:styleId="986" w:customStyle="1">
    <w:name w:val="标题 9 Char"/>
    <w:link w:val="941"/>
    <w:uiPriority w:val="9"/>
    <w:qFormat/>
    <w:rPr>
      <w:rFonts w:ascii="Arial" w:hAnsi="Arial" w:eastAsia="Arial" w:cs="Arial"/>
      <w:i/>
      <w:iCs/>
      <w:sz w:val="21"/>
      <w:szCs w:val="21"/>
    </w:rPr>
  </w:style>
  <w:style w:type="paragraph" w:styleId="987">
    <w:name w:val="No Spacing"/>
    <w:uiPriority w:val="1"/>
    <w:qFormat/>
    <w:rPr>
      <w:rFonts w:ascii="Times New Roman" w:hAnsi="Times New Roman" w:eastAsia="宋体" w:cs="Times New Roman"/>
      <w:lang w:val="en-US" w:eastAsia="zh-CN" w:bidi="ar-SA"/>
    </w:rPr>
  </w:style>
  <w:style w:type="character" w:styleId="988" w:customStyle="1">
    <w:name w:val="标题 Char"/>
    <w:link w:val="966"/>
    <w:uiPriority w:val="10"/>
    <w:qFormat/>
    <w:rPr>
      <w:sz w:val="48"/>
      <w:szCs w:val="48"/>
    </w:rPr>
  </w:style>
  <w:style w:type="character" w:styleId="989" w:customStyle="1">
    <w:name w:val="副标题 Char"/>
    <w:link w:val="960"/>
    <w:uiPriority w:val="11"/>
    <w:qFormat/>
    <w:rPr>
      <w:sz w:val="24"/>
      <w:szCs w:val="24"/>
    </w:rPr>
  </w:style>
  <w:style w:type="paragraph" w:styleId="990">
    <w:name w:val="Quote"/>
    <w:basedOn w:val="932"/>
    <w:next w:val="932"/>
    <w:link w:val="991"/>
    <w:uiPriority w:val="29"/>
    <w:qFormat/>
    <w:pPr>
      <w:ind w:left="720" w:right="720"/>
    </w:pPr>
    <w:rPr>
      <w:i/>
    </w:rPr>
  </w:style>
  <w:style w:type="character" w:styleId="991" w:customStyle="1">
    <w:name w:val="引用 Char"/>
    <w:link w:val="990"/>
    <w:uiPriority w:val="29"/>
    <w:qFormat/>
    <w:rPr>
      <w:i/>
    </w:rPr>
  </w:style>
  <w:style w:type="paragraph" w:styleId="992">
    <w:name w:val="Intense Quote"/>
    <w:basedOn w:val="932"/>
    <w:next w:val="932"/>
    <w:link w:val="9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3" w:customStyle="1">
    <w:name w:val="明显引用 Char"/>
    <w:link w:val="992"/>
    <w:uiPriority w:val="30"/>
    <w:qFormat/>
    <w:rPr>
      <w:i/>
    </w:rPr>
  </w:style>
  <w:style w:type="character" w:styleId="994" w:customStyle="1">
    <w:name w:val="页眉 Char"/>
    <w:link w:val="957"/>
    <w:uiPriority w:val="99"/>
    <w:qFormat/>
  </w:style>
  <w:style w:type="character" w:styleId="995" w:customStyle="1">
    <w:name w:val="Footer Char"/>
    <w:uiPriority w:val="99"/>
    <w:qFormat/>
  </w:style>
  <w:style w:type="character" w:styleId="996" w:customStyle="1">
    <w:name w:val="页脚 Char"/>
    <w:link w:val="956"/>
    <w:uiPriority w:val="99"/>
    <w:qFormat/>
  </w:style>
  <w:style w:type="table" w:styleId="9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2" w:customStyle="1">
    <w:name w:val="脚注文本 Char"/>
    <w:link w:val="961"/>
    <w:uiPriority w:val="99"/>
    <w:qFormat/>
    <w:rPr>
      <w:sz w:val="18"/>
    </w:rPr>
  </w:style>
  <w:style w:type="character" w:styleId="1123" w:customStyle="1">
    <w:name w:val="尾注文本 Char"/>
    <w:link w:val="954"/>
    <w:uiPriority w:val="99"/>
    <w:qFormat/>
    <w:rPr>
      <w:sz w:val="20"/>
    </w:rPr>
  </w:style>
  <w:style w:type="paragraph" w:styleId="1124" w:customStyle="1">
    <w:name w:val="TOC 标题1"/>
    <w:uiPriority w:val="39"/>
    <w:unhideWhenUsed/>
    <w:qFormat/>
    <w:rPr>
      <w:rFonts w:ascii="Times New Roman" w:hAnsi="Times New Roman" w:eastAsia="宋体" w:cs="Times New Roman"/>
      <w:lang w:val="en-US" w:eastAsia="zh-CN" w:bidi="ar-SA"/>
    </w:rPr>
  </w:style>
  <w:style w:type="paragraph" w:styleId="1125" w:customStyle="1">
    <w:name w:val="标题 11"/>
    <w:basedOn w:val="932"/>
    <w:next w:val="932"/>
    <w:link w:val="1137"/>
    <w:uiPriority w:val="0"/>
    <w:qFormat/>
    <w:pPr>
      <w:jc w:val="center"/>
      <w:keepNext/>
      <w:outlineLvl w:val="0"/>
    </w:pPr>
    <w:rPr>
      <w:rFonts w:ascii="楷体_GB2312" w:eastAsia="楷体_GB2312"/>
      <w:sz w:val="28"/>
      <w:szCs w:val="28"/>
    </w:rPr>
  </w:style>
  <w:style w:type="paragraph" w:styleId="1126" w:customStyle="1">
    <w:name w:val="标题 211"/>
    <w:basedOn w:val="932"/>
    <w:next w:val="1127"/>
    <w:link w:val="11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7" w:customStyle="1">
    <w:name w:val="正文缩进1"/>
    <w:basedOn w:val="932"/>
    <w:link w:val="1139"/>
    <w:uiPriority w:val="0"/>
    <w:qFormat/>
    <w:pPr>
      <w:ind w:firstLine="420"/>
    </w:pPr>
    <w:rPr>
      <w:szCs w:val="21"/>
    </w:rPr>
  </w:style>
  <w:style w:type="paragraph" w:styleId="1128" w:customStyle="1">
    <w:name w:val="标题 31"/>
    <w:basedOn w:val="932"/>
    <w:next w:val="1127"/>
    <w:link w:val="1140"/>
    <w:uiPriority w:val="0"/>
    <w:qFormat/>
    <w:pPr>
      <w:keepLines/>
      <w:keepNext/>
      <w:spacing w:before="260" w:after="260" w:line="416" w:lineRule="auto"/>
      <w:outlineLvl w:val="2"/>
    </w:pPr>
    <w:rPr>
      <w:b/>
      <w:bCs/>
      <w:sz w:val="32"/>
      <w:szCs w:val="32"/>
    </w:rPr>
  </w:style>
  <w:style w:type="paragraph" w:styleId="1129" w:customStyle="1">
    <w:name w:val="标题 41"/>
    <w:basedOn w:val="932"/>
    <w:next w:val="932"/>
    <w:link w:val="1141"/>
    <w:uiPriority w:val="0"/>
    <w:qFormat/>
    <w:pPr>
      <w:keepLines/>
      <w:keepNext/>
      <w:spacing w:before="280" w:after="290" w:line="376" w:lineRule="auto"/>
      <w:outlineLvl w:val="3"/>
    </w:pPr>
    <w:rPr>
      <w:rFonts w:ascii="Arial" w:hAnsi="Arial" w:eastAsia="黑体" w:cs="Arial"/>
      <w:b/>
      <w:bCs/>
      <w:sz w:val="28"/>
      <w:szCs w:val="28"/>
    </w:rPr>
  </w:style>
  <w:style w:type="paragraph" w:styleId="1130" w:customStyle="1">
    <w:name w:val="标题 51"/>
    <w:basedOn w:val="932"/>
    <w:next w:val="1127"/>
    <w:link w:val="1142"/>
    <w:uiPriority w:val="0"/>
    <w:qFormat/>
    <w:pPr>
      <w:keepNext/>
      <w:outlineLvl w:val="4"/>
    </w:pPr>
    <w:rPr>
      <w:rFonts w:ascii="宋体"/>
      <w:color w:val="000000"/>
      <w:sz w:val="28"/>
      <w:szCs w:val="28"/>
    </w:rPr>
  </w:style>
  <w:style w:type="paragraph" w:styleId="1131" w:customStyle="1">
    <w:name w:val="标题 61"/>
    <w:basedOn w:val="932"/>
    <w:next w:val="932"/>
    <w:link w:val="114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32" w:customStyle="1">
    <w:name w:val="标题 71"/>
    <w:basedOn w:val="932"/>
    <w:next w:val="932"/>
    <w:link w:val="1144"/>
    <w:uiPriority w:val="0"/>
    <w:qFormat/>
    <w:pPr>
      <w:numPr>
        <w:ilvl w:val="6"/>
        <w:numId w:val="1"/>
      </w:numPr>
      <w:keepLines/>
      <w:keepNext/>
      <w:spacing w:before="240" w:after="64" w:line="320" w:lineRule="auto"/>
      <w:outlineLvl w:val="6"/>
    </w:pPr>
    <w:rPr>
      <w:b/>
      <w:bCs/>
      <w:sz w:val="24"/>
      <w:szCs w:val="24"/>
    </w:rPr>
  </w:style>
  <w:style w:type="paragraph" w:styleId="1133" w:customStyle="1">
    <w:name w:val="标题 81"/>
    <w:basedOn w:val="932"/>
    <w:next w:val="932"/>
    <w:link w:val="114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34" w:customStyle="1">
    <w:name w:val="标题 91"/>
    <w:basedOn w:val="932"/>
    <w:next w:val="932"/>
    <w:link w:val="1146"/>
    <w:uiPriority w:val="0"/>
    <w:qFormat/>
    <w:pPr>
      <w:numPr>
        <w:ilvl w:val="8"/>
        <w:numId w:val="1"/>
      </w:numPr>
      <w:keepLines/>
      <w:keepNext/>
      <w:spacing w:before="240" w:after="64" w:line="320" w:lineRule="auto"/>
      <w:outlineLvl w:val="8"/>
    </w:pPr>
    <w:rPr>
      <w:rFonts w:ascii="Arial" w:hAnsi="Arial" w:eastAsia="黑体"/>
      <w:szCs w:val="21"/>
    </w:rPr>
  </w:style>
  <w:style w:type="character" w:styleId="1135" w:customStyle="1">
    <w:name w:val="默认段落字体1"/>
    <w:uiPriority w:val="1"/>
    <w:unhideWhenUsed/>
    <w:qFormat/>
  </w:style>
  <w:style w:type="table" w:styleId="1136" w:customStyle="1">
    <w:name w:val="普通表格1"/>
    <w:uiPriority w:val="99"/>
    <w:unhideWhenUsed/>
    <w:qFormat/>
    <w:tblPr>
      <w:tblCellMar>
        <w:left w:w="0" w:type="dxa"/>
        <w:top w:w="0" w:type="dxa"/>
        <w:right w:w="0" w:type="dxa"/>
        <w:bottom w:w="0" w:type="dxa"/>
      </w:tblCellMar>
    </w:tblPr>
  </w:style>
  <w:style w:type="character" w:styleId="1137" w:customStyle="1">
    <w:name w:val="标题 1 字符"/>
    <w:link w:val="1125"/>
    <w:uiPriority w:val="0"/>
    <w:qFormat/>
    <w:rPr>
      <w:rFonts w:ascii="楷体_GB2312" w:hAnsi="Times New Roman" w:eastAsia="楷体_GB2312" w:cs="Times New Roman"/>
      <w:sz w:val="28"/>
      <w:szCs w:val="28"/>
    </w:rPr>
  </w:style>
  <w:style w:type="character" w:styleId="1138" w:customStyle="1">
    <w:name w:val="标题 2 字符"/>
    <w:link w:val="1126"/>
    <w:uiPriority w:val="0"/>
    <w:qFormat/>
    <w:rPr>
      <w:rFonts w:ascii="Arial" w:hAnsi="Arial" w:eastAsia="幼圆" w:cs="Arial"/>
      <w:b/>
      <w:bCs/>
      <w:sz w:val="44"/>
      <w:szCs w:val="44"/>
    </w:rPr>
  </w:style>
  <w:style w:type="character" w:styleId="1139" w:customStyle="1">
    <w:name w:val="正文缩进 字符"/>
    <w:link w:val="1127"/>
    <w:uiPriority w:val="0"/>
    <w:qFormat/>
    <w:rPr>
      <w:szCs w:val="21"/>
    </w:rPr>
  </w:style>
  <w:style w:type="character" w:styleId="1140" w:customStyle="1">
    <w:name w:val="标题 3 字符"/>
    <w:link w:val="1128"/>
    <w:uiPriority w:val="0"/>
    <w:qFormat/>
    <w:rPr>
      <w:rFonts w:ascii="Times New Roman" w:hAnsi="Times New Roman" w:eastAsia="宋体" w:cs="Times New Roman"/>
      <w:b/>
      <w:bCs/>
      <w:sz w:val="32"/>
      <w:szCs w:val="32"/>
    </w:rPr>
  </w:style>
  <w:style w:type="character" w:styleId="1141" w:customStyle="1">
    <w:name w:val="标题 4 字符"/>
    <w:link w:val="1129"/>
    <w:uiPriority w:val="0"/>
    <w:qFormat/>
    <w:rPr>
      <w:rFonts w:ascii="Arial" w:hAnsi="Arial" w:eastAsia="黑体" w:cs="Arial"/>
      <w:b/>
      <w:bCs/>
      <w:sz w:val="28"/>
      <w:szCs w:val="28"/>
    </w:rPr>
  </w:style>
  <w:style w:type="character" w:styleId="1142" w:customStyle="1">
    <w:name w:val="标题 5 字符"/>
    <w:link w:val="1130"/>
    <w:uiPriority w:val="0"/>
    <w:qFormat/>
    <w:rPr>
      <w:rFonts w:ascii="宋体" w:hAnsi="Times New Roman" w:eastAsia="宋体" w:cs="Times New Roman"/>
      <w:color w:val="000000"/>
      <w:sz w:val="28"/>
      <w:szCs w:val="28"/>
    </w:rPr>
  </w:style>
  <w:style w:type="character" w:styleId="1143" w:customStyle="1">
    <w:name w:val="标题 6 字符"/>
    <w:link w:val="1131"/>
    <w:uiPriority w:val="0"/>
    <w:qFormat/>
    <w:rPr>
      <w:rFonts w:ascii="Arial" w:hAnsi="Arial" w:eastAsia="黑体" w:cs="Times New Roman"/>
      <w:b/>
      <w:bCs/>
      <w:sz w:val="24"/>
      <w:szCs w:val="24"/>
    </w:rPr>
  </w:style>
  <w:style w:type="character" w:styleId="1144" w:customStyle="1">
    <w:name w:val="标题 7 字符"/>
    <w:link w:val="1132"/>
    <w:uiPriority w:val="0"/>
    <w:qFormat/>
    <w:rPr>
      <w:rFonts w:ascii="Times New Roman" w:hAnsi="Times New Roman" w:eastAsia="宋体" w:cs="Times New Roman"/>
      <w:b/>
      <w:bCs/>
      <w:sz w:val="24"/>
      <w:szCs w:val="24"/>
    </w:rPr>
  </w:style>
  <w:style w:type="character" w:styleId="1145" w:customStyle="1">
    <w:name w:val="标题 8 字符"/>
    <w:link w:val="1133"/>
    <w:uiPriority w:val="0"/>
    <w:qFormat/>
    <w:rPr>
      <w:rFonts w:ascii="Arial" w:hAnsi="Arial" w:eastAsia="黑体" w:cs="Times New Roman"/>
      <w:sz w:val="24"/>
      <w:szCs w:val="24"/>
    </w:rPr>
  </w:style>
  <w:style w:type="character" w:styleId="1146" w:customStyle="1">
    <w:name w:val="标题 9 字符"/>
    <w:link w:val="1134"/>
    <w:uiPriority w:val="0"/>
    <w:qFormat/>
    <w:rPr>
      <w:rFonts w:ascii="Arial" w:hAnsi="Arial" w:eastAsia="黑体" w:cs="Times New Roman"/>
      <w:szCs w:val="21"/>
    </w:rPr>
  </w:style>
  <w:style w:type="paragraph" w:styleId="1147" w:customStyle="1">
    <w:name w:val="列表 31"/>
    <w:basedOn w:val="932"/>
    <w:uiPriority w:val="0"/>
    <w:qFormat/>
    <w:pPr>
      <w:ind w:left="100" w:hanging="200"/>
    </w:pPr>
    <w:rPr>
      <w:szCs w:val="21"/>
    </w:rPr>
  </w:style>
  <w:style w:type="paragraph" w:styleId="1148" w:customStyle="1">
    <w:name w:val="目录 71"/>
    <w:basedOn w:val="932"/>
    <w:next w:val="932"/>
    <w:uiPriority w:val="0"/>
    <w:semiHidden/>
    <w:qFormat/>
    <w:pPr>
      <w:ind w:left="1260"/>
      <w:jc w:val="left"/>
    </w:pPr>
    <w:rPr>
      <w:szCs w:val="21"/>
    </w:rPr>
  </w:style>
  <w:style w:type="paragraph" w:styleId="1149" w:customStyle="1">
    <w:name w:val="文档结构图1"/>
    <w:basedOn w:val="932"/>
    <w:link w:val="1150"/>
    <w:uiPriority w:val="0"/>
    <w:semiHidden/>
    <w:qFormat/>
    <w:pPr>
      <w:shd w:val="clear" w:color="auto" w:fill="000080"/>
    </w:pPr>
    <w:rPr>
      <w:szCs w:val="21"/>
    </w:rPr>
  </w:style>
  <w:style w:type="character" w:styleId="1150" w:customStyle="1">
    <w:name w:val="文档结构图 字符"/>
    <w:link w:val="1149"/>
    <w:uiPriority w:val="0"/>
    <w:semiHidden/>
    <w:qFormat/>
    <w:rPr>
      <w:rFonts w:ascii="Times New Roman" w:hAnsi="Times New Roman" w:eastAsia="宋体" w:cs="Times New Roman"/>
      <w:szCs w:val="21"/>
      <w:shd w:val="clear" w:color="auto" w:fill="000080"/>
    </w:rPr>
  </w:style>
  <w:style w:type="paragraph" w:styleId="1151" w:customStyle="1">
    <w:name w:val="批注文字1"/>
    <w:basedOn w:val="932"/>
    <w:link w:val="1152"/>
    <w:uiPriority w:val="0"/>
    <w:unhideWhenUsed/>
    <w:qFormat/>
    <w:pPr>
      <w:jc w:val="left"/>
    </w:pPr>
  </w:style>
  <w:style w:type="character" w:styleId="1152" w:customStyle="1">
    <w:name w:val="批注文字 字符"/>
    <w:link w:val="1151"/>
    <w:uiPriority w:val="99"/>
    <w:semiHidden/>
    <w:qFormat/>
  </w:style>
  <w:style w:type="paragraph" w:styleId="1153" w:customStyle="1">
    <w:name w:val="正文文本 31"/>
    <w:basedOn w:val="932"/>
    <w:link w:val="1154"/>
    <w:uiPriority w:val="0"/>
    <w:qFormat/>
    <w:rPr>
      <w:rFonts w:ascii="仿宋_GB2312" w:hAnsi="Arial" w:eastAsia="仿宋_GB2312"/>
      <w:sz w:val="32"/>
      <w:szCs w:val="32"/>
    </w:rPr>
  </w:style>
  <w:style w:type="character" w:styleId="1154" w:customStyle="1">
    <w:name w:val="正文文本 3 字符"/>
    <w:link w:val="1153"/>
    <w:uiPriority w:val="0"/>
    <w:qFormat/>
    <w:rPr>
      <w:rFonts w:ascii="仿宋_GB2312" w:hAnsi="Arial" w:eastAsia="仿宋_GB2312" w:cs="Times New Roman"/>
      <w:sz w:val="32"/>
      <w:szCs w:val="32"/>
    </w:rPr>
  </w:style>
  <w:style w:type="paragraph" w:styleId="1155" w:customStyle="1">
    <w:name w:val="正文文本1"/>
    <w:basedOn w:val="932"/>
    <w:link w:val="1156"/>
    <w:uiPriority w:val="0"/>
    <w:qFormat/>
    <w:rPr>
      <w:rFonts w:ascii="楷体_GB2312" w:hAnsi="Arial" w:eastAsia="楷体_GB2312"/>
      <w:sz w:val="28"/>
      <w:szCs w:val="28"/>
    </w:rPr>
  </w:style>
  <w:style w:type="character" w:styleId="1156" w:customStyle="1">
    <w:name w:val="正文文本 字符"/>
    <w:link w:val="1155"/>
    <w:uiPriority w:val="0"/>
    <w:qFormat/>
    <w:rPr>
      <w:rFonts w:ascii="楷体_GB2312" w:hAnsi="Arial" w:eastAsia="楷体_GB2312" w:cs="Times New Roman"/>
      <w:sz w:val="28"/>
      <w:szCs w:val="28"/>
    </w:rPr>
  </w:style>
  <w:style w:type="character" w:styleId="1157" w:customStyle="1">
    <w:name w:val="正文文本缩进 字符"/>
    <w:link w:val="976"/>
    <w:uiPriority w:val="99"/>
    <w:semiHidden/>
    <w:qFormat/>
  </w:style>
  <w:style w:type="paragraph" w:styleId="1158" w:customStyle="1">
    <w:name w:val="列表 21"/>
    <w:basedOn w:val="932"/>
    <w:uiPriority w:val="0"/>
    <w:qFormat/>
    <w:pPr>
      <w:ind w:left="100" w:hanging="200"/>
    </w:pPr>
    <w:rPr>
      <w:szCs w:val="21"/>
    </w:rPr>
  </w:style>
  <w:style w:type="paragraph" w:styleId="1159" w:customStyle="1">
    <w:name w:val="索引 41"/>
    <w:basedOn w:val="932"/>
    <w:next w:val="932"/>
    <w:uiPriority w:val="99"/>
    <w:qFormat/>
    <w:pPr>
      <w:ind w:left="600"/>
    </w:pPr>
  </w:style>
  <w:style w:type="paragraph" w:styleId="1160" w:customStyle="1">
    <w:name w:val="目录 51"/>
    <w:basedOn w:val="932"/>
    <w:next w:val="932"/>
    <w:uiPriority w:val="0"/>
    <w:semiHidden/>
    <w:qFormat/>
    <w:pPr>
      <w:ind w:left="840"/>
      <w:jc w:val="left"/>
    </w:pPr>
    <w:rPr>
      <w:szCs w:val="21"/>
    </w:rPr>
  </w:style>
  <w:style w:type="paragraph" w:styleId="1161" w:customStyle="1">
    <w:name w:val="目录 31"/>
    <w:basedOn w:val="932"/>
    <w:next w:val="932"/>
    <w:uiPriority w:val="0"/>
    <w:semiHidden/>
    <w:qFormat/>
    <w:pPr>
      <w:ind w:left="420"/>
      <w:jc w:val="left"/>
    </w:pPr>
    <w:rPr>
      <w:i/>
      <w:iCs/>
      <w:szCs w:val="24"/>
    </w:rPr>
  </w:style>
  <w:style w:type="paragraph" w:styleId="1162" w:customStyle="1">
    <w:name w:val="纯文本1"/>
    <w:basedOn w:val="932"/>
    <w:link w:val="1163"/>
    <w:uiPriority w:val="0"/>
    <w:qFormat/>
    <w:rPr>
      <w:rFonts w:ascii="宋体" w:hAnsi="Courier New" w:cs="Courier New"/>
      <w:szCs w:val="21"/>
    </w:rPr>
  </w:style>
  <w:style w:type="character" w:styleId="1163" w:customStyle="1">
    <w:name w:val="纯文本 字符"/>
    <w:link w:val="1162"/>
    <w:uiPriority w:val="0"/>
    <w:qFormat/>
    <w:rPr>
      <w:rFonts w:ascii="宋体" w:hAnsi="Courier New" w:eastAsia="宋体" w:cs="Courier New"/>
      <w:szCs w:val="21"/>
    </w:rPr>
  </w:style>
  <w:style w:type="paragraph" w:styleId="1164" w:customStyle="1">
    <w:name w:val="目录 81"/>
    <w:basedOn w:val="932"/>
    <w:next w:val="932"/>
    <w:uiPriority w:val="0"/>
    <w:semiHidden/>
    <w:qFormat/>
    <w:pPr>
      <w:ind w:left="1470"/>
      <w:jc w:val="left"/>
    </w:pPr>
    <w:rPr>
      <w:szCs w:val="21"/>
    </w:rPr>
  </w:style>
  <w:style w:type="paragraph" w:styleId="1165" w:customStyle="1">
    <w:name w:val="日期1"/>
    <w:basedOn w:val="932"/>
    <w:next w:val="932"/>
    <w:link w:val="1166"/>
    <w:uiPriority w:val="0"/>
    <w:qFormat/>
    <w:rPr>
      <w:sz w:val="24"/>
      <w:szCs w:val="24"/>
    </w:rPr>
  </w:style>
  <w:style w:type="character" w:styleId="1166" w:customStyle="1">
    <w:name w:val="日期 字符"/>
    <w:link w:val="1165"/>
    <w:uiPriority w:val="0"/>
    <w:qFormat/>
    <w:rPr>
      <w:rFonts w:ascii="Times New Roman" w:hAnsi="Times New Roman" w:eastAsia="宋体" w:cs="Times New Roman"/>
      <w:sz w:val="24"/>
      <w:szCs w:val="24"/>
    </w:rPr>
  </w:style>
  <w:style w:type="paragraph" w:styleId="1167" w:customStyle="1">
    <w:name w:val="正文文本缩进 21"/>
    <w:basedOn w:val="932"/>
    <w:link w:val="1168"/>
    <w:uiPriority w:val="0"/>
    <w:qFormat/>
    <w:pPr>
      <w:ind w:left="630" w:firstLine="645"/>
    </w:pPr>
    <w:rPr>
      <w:rFonts w:ascii="Arial" w:hAnsi="Arial" w:eastAsia="仿宋_GB2312" w:cs="Arial"/>
      <w:sz w:val="32"/>
      <w:szCs w:val="32"/>
    </w:rPr>
  </w:style>
  <w:style w:type="character" w:styleId="1168" w:customStyle="1">
    <w:name w:val="正文文本缩进 2 字符"/>
    <w:link w:val="1167"/>
    <w:uiPriority w:val="0"/>
    <w:qFormat/>
    <w:rPr>
      <w:rFonts w:ascii="Arial" w:hAnsi="Arial" w:eastAsia="仿宋_GB2312" w:cs="Arial"/>
      <w:sz w:val="32"/>
      <w:szCs w:val="32"/>
    </w:rPr>
  </w:style>
  <w:style w:type="paragraph" w:styleId="1169" w:customStyle="1">
    <w:name w:val="批注框文本1"/>
    <w:basedOn w:val="932"/>
    <w:link w:val="1170"/>
    <w:uiPriority w:val="0"/>
    <w:semiHidden/>
    <w:qFormat/>
    <w:rPr>
      <w:sz w:val="18"/>
      <w:szCs w:val="18"/>
    </w:rPr>
  </w:style>
  <w:style w:type="character" w:styleId="1170" w:customStyle="1">
    <w:name w:val="批注框文本 字符"/>
    <w:link w:val="1169"/>
    <w:uiPriority w:val="0"/>
    <w:semiHidden/>
    <w:qFormat/>
    <w:rPr>
      <w:rFonts w:ascii="Times New Roman" w:hAnsi="Times New Roman" w:eastAsia="宋体" w:cs="Times New Roman"/>
      <w:sz w:val="18"/>
      <w:szCs w:val="18"/>
    </w:rPr>
  </w:style>
  <w:style w:type="paragraph" w:styleId="1171" w:customStyle="1">
    <w:name w:val="页脚111"/>
    <w:basedOn w:val="932"/>
    <w:link w:val="1172"/>
    <w:uiPriority w:val="0"/>
    <w:qFormat/>
    <w:pPr>
      <w:jc w:val="left"/>
      <w:tabs>
        <w:tab w:val="center" w:pos="4153" w:leader="none"/>
        <w:tab w:val="right" w:pos="8306" w:leader="none"/>
      </w:tabs>
    </w:pPr>
    <w:rPr>
      <w:sz w:val="18"/>
      <w:szCs w:val="18"/>
    </w:rPr>
  </w:style>
  <w:style w:type="character" w:styleId="1172" w:customStyle="1">
    <w:name w:val="页脚 字符"/>
    <w:link w:val="1171"/>
    <w:uiPriority w:val="0"/>
    <w:qFormat/>
    <w:rPr>
      <w:rFonts w:ascii="Times New Roman" w:hAnsi="Times New Roman" w:eastAsia="宋体" w:cs="Times New Roman"/>
      <w:sz w:val="18"/>
      <w:szCs w:val="18"/>
    </w:rPr>
  </w:style>
  <w:style w:type="paragraph" w:styleId="1173" w:customStyle="1">
    <w:name w:val="页眉1"/>
    <w:basedOn w:val="932"/>
    <w:link w:val="1174"/>
    <w:uiPriority w:val="0"/>
    <w:qFormat/>
    <w:pPr>
      <w:jc w:val="center"/>
      <w:tabs>
        <w:tab w:val="center" w:pos="4153" w:leader="none"/>
        <w:tab w:val="right" w:pos="8306" w:leader="none"/>
      </w:tabs>
      <w:pBdr>
        <w:bottom w:val="single" w:color="000000" w:sz="6" w:space="1"/>
      </w:pBdr>
    </w:pPr>
    <w:rPr>
      <w:sz w:val="18"/>
      <w:szCs w:val="18"/>
    </w:rPr>
  </w:style>
  <w:style w:type="character" w:styleId="1174" w:customStyle="1">
    <w:name w:val="页眉 字符"/>
    <w:link w:val="1173"/>
    <w:uiPriority w:val="0"/>
    <w:qFormat/>
    <w:rPr>
      <w:rFonts w:ascii="Times New Roman" w:hAnsi="Times New Roman" w:eastAsia="宋体" w:cs="Times New Roman"/>
      <w:sz w:val="18"/>
      <w:szCs w:val="18"/>
    </w:rPr>
  </w:style>
  <w:style w:type="paragraph" w:styleId="1175" w:customStyle="1">
    <w:name w:val="目录 11"/>
    <w:basedOn w:val="932"/>
    <w:next w:val="932"/>
    <w:uiPriority w:val="0"/>
    <w:semiHidden/>
    <w:qFormat/>
    <w:pPr>
      <w:jc w:val="left"/>
      <w:spacing w:before="120" w:after="120" w:line="400" w:lineRule="exact"/>
      <w:tabs>
        <w:tab w:val="right" w:pos="8720" w:leader="dot"/>
      </w:tabs>
    </w:pPr>
    <w:rPr>
      <w:rFonts w:ascii="宋体" w:hAnsi="宋体"/>
      <w:caps/>
      <w:sz w:val="24"/>
      <w:szCs w:val="24"/>
    </w:rPr>
  </w:style>
  <w:style w:type="paragraph" w:styleId="1176" w:customStyle="1">
    <w:name w:val="目录 41"/>
    <w:basedOn w:val="932"/>
    <w:next w:val="932"/>
    <w:uiPriority w:val="0"/>
    <w:semiHidden/>
    <w:qFormat/>
    <w:pPr>
      <w:ind w:left="630"/>
      <w:jc w:val="left"/>
    </w:pPr>
    <w:rPr>
      <w:szCs w:val="21"/>
    </w:rPr>
  </w:style>
  <w:style w:type="paragraph" w:styleId="1177" w:customStyle="1">
    <w:name w:val="列表1"/>
    <w:basedOn w:val="932"/>
    <w:uiPriority w:val="0"/>
    <w:qFormat/>
    <w:pPr>
      <w:ind w:left="200" w:hanging="200"/>
    </w:pPr>
    <w:rPr>
      <w:szCs w:val="21"/>
    </w:rPr>
  </w:style>
  <w:style w:type="paragraph" w:styleId="1178" w:customStyle="1">
    <w:name w:val="目录 61"/>
    <w:basedOn w:val="932"/>
    <w:next w:val="932"/>
    <w:uiPriority w:val="0"/>
    <w:semiHidden/>
    <w:qFormat/>
    <w:pPr>
      <w:ind w:left="1050"/>
      <w:jc w:val="left"/>
    </w:pPr>
    <w:rPr>
      <w:szCs w:val="21"/>
    </w:rPr>
  </w:style>
  <w:style w:type="paragraph" w:styleId="1179" w:customStyle="1">
    <w:name w:val="正文文本缩进 31"/>
    <w:basedOn w:val="932"/>
    <w:link w:val="1180"/>
    <w:uiPriority w:val="0"/>
    <w:qFormat/>
    <w:pPr>
      <w:ind w:left="645" w:firstLine="645"/>
    </w:pPr>
    <w:rPr>
      <w:rFonts w:ascii="Arial" w:hAnsi="Arial" w:eastAsia="仿宋_GB2312" w:cs="Arial"/>
      <w:color w:val="ffff00"/>
      <w:sz w:val="32"/>
      <w:szCs w:val="32"/>
    </w:rPr>
  </w:style>
  <w:style w:type="character" w:styleId="1180" w:customStyle="1">
    <w:name w:val="正文文本缩进 3 字符"/>
    <w:link w:val="1179"/>
    <w:uiPriority w:val="0"/>
    <w:qFormat/>
    <w:rPr>
      <w:rFonts w:ascii="Arial" w:hAnsi="Arial" w:eastAsia="仿宋_GB2312" w:cs="Arial"/>
      <w:color w:val="ffff00"/>
      <w:sz w:val="32"/>
      <w:szCs w:val="32"/>
    </w:rPr>
  </w:style>
  <w:style w:type="paragraph" w:styleId="1181" w:customStyle="1">
    <w:name w:val="图表目录1"/>
    <w:basedOn w:val="932"/>
    <w:next w:val="932"/>
    <w:uiPriority w:val="0"/>
    <w:semiHidden/>
    <w:qFormat/>
    <w:pPr>
      <w:ind w:left="840" w:hanging="420"/>
    </w:pPr>
    <w:rPr>
      <w:szCs w:val="21"/>
    </w:rPr>
  </w:style>
  <w:style w:type="paragraph" w:styleId="1182" w:customStyle="1">
    <w:name w:val="目录 21"/>
    <w:basedOn w:val="932"/>
    <w:next w:val="932"/>
    <w:uiPriority w:val="0"/>
    <w:semiHidden/>
    <w:qFormat/>
    <w:pPr>
      <w:ind w:left="210"/>
      <w:jc w:val="left"/>
    </w:pPr>
    <w:rPr>
      <w:smallCaps/>
      <w:szCs w:val="24"/>
    </w:rPr>
  </w:style>
  <w:style w:type="paragraph" w:styleId="1183" w:customStyle="1">
    <w:name w:val="目录 91"/>
    <w:basedOn w:val="932"/>
    <w:next w:val="932"/>
    <w:uiPriority w:val="0"/>
    <w:semiHidden/>
    <w:qFormat/>
    <w:pPr>
      <w:ind w:left="1680"/>
      <w:jc w:val="left"/>
    </w:pPr>
    <w:rPr>
      <w:szCs w:val="21"/>
    </w:rPr>
  </w:style>
  <w:style w:type="paragraph" w:styleId="1184" w:customStyle="1">
    <w:name w:val="正文文本 21"/>
    <w:basedOn w:val="932"/>
    <w:link w:val="1185"/>
    <w:uiPriority w:val="0"/>
    <w:qFormat/>
    <w:pPr>
      <w:jc w:val="center"/>
      <w:widowControl/>
    </w:pPr>
    <w:rPr>
      <w:rFonts w:ascii="楷体_GB2312" w:eastAsia="楷体_GB2312"/>
      <w:sz w:val="28"/>
      <w:szCs w:val="28"/>
    </w:rPr>
  </w:style>
  <w:style w:type="character" w:styleId="1185" w:customStyle="1">
    <w:name w:val="正文文本 2 字符"/>
    <w:link w:val="1184"/>
    <w:uiPriority w:val="0"/>
    <w:qFormat/>
    <w:rPr>
      <w:rFonts w:ascii="楷体_GB2312" w:hAnsi="Times New Roman" w:eastAsia="楷体_GB2312" w:cs="Times New Roman"/>
      <w:sz w:val="28"/>
      <w:szCs w:val="28"/>
    </w:rPr>
  </w:style>
  <w:style w:type="paragraph" w:styleId="1186" w:customStyle="1">
    <w:name w:val="普通(网站)1"/>
    <w:basedOn w:val="932"/>
    <w:uiPriority w:val="99"/>
    <w:qFormat/>
    <w:pPr>
      <w:jc w:val="left"/>
      <w:spacing w:before="100" w:beforeAutospacing="1" w:after="100" w:afterAutospacing="1"/>
      <w:widowControl/>
    </w:pPr>
    <w:rPr>
      <w:rFonts w:ascii="宋体" w:hAnsi="宋体" w:cs="宋体"/>
      <w:sz w:val="24"/>
      <w:szCs w:val="24"/>
    </w:rPr>
  </w:style>
  <w:style w:type="paragraph" w:styleId="1187" w:customStyle="1">
    <w:name w:val="索引 11"/>
    <w:basedOn w:val="932"/>
    <w:next w:val="932"/>
    <w:uiPriority w:val="0"/>
    <w:semiHidden/>
    <w:qFormat/>
    <w:pPr>
      <w:spacing w:line="240" w:lineRule="atLeast"/>
    </w:pPr>
    <w:rPr>
      <w:b/>
      <w:bCs/>
      <w:szCs w:val="21"/>
    </w:rPr>
  </w:style>
  <w:style w:type="paragraph" w:styleId="1188" w:customStyle="1">
    <w:name w:val="批注主题1"/>
    <w:basedOn w:val="1151"/>
    <w:next w:val="1151"/>
    <w:link w:val="1189"/>
    <w:uiPriority w:val="0"/>
    <w:semiHidden/>
    <w:qFormat/>
    <w:rPr>
      <w:b/>
      <w:bCs/>
      <w:szCs w:val="21"/>
    </w:rPr>
  </w:style>
  <w:style w:type="character" w:styleId="1189" w:customStyle="1">
    <w:name w:val="批注主题 字符"/>
    <w:link w:val="1188"/>
    <w:uiPriority w:val="0"/>
    <w:semiHidden/>
    <w:qFormat/>
    <w:rPr>
      <w:rFonts w:ascii="Times New Roman" w:hAnsi="Times New Roman" w:eastAsia="宋体" w:cs="Times New Roman"/>
      <w:b/>
      <w:bCs/>
      <w:szCs w:val="21"/>
    </w:rPr>
  </w:style>
  <w:style w:type="paragraph" w:styleId="1190" w:customStyle="1">
    <w:name w:val="正文首行缩进1"/>
    <w:basedOn w:val="1155"/>
    <w:link w:val="1191"/>
    <w:uiPriority w:val="0"/>
    <w:qFormat/>
    <w:pPr>
      <w:ind w:firstLine="200"/>
      <w:spacing w:line="360" w:lineRule="auto"/>
    </w:pPr>
    <w:rPr>
      <w:rFonts w:ascii="仿宋_GB2312" w:hAnsi="Times New Roman" w:eastAsia="仿宋_GB2312"/>
      <w:sz w:val="30"/>
      <w:szCs w:val="30"/>
    </w:rPr>
  </w:style>
  <w:style w:type="character" w:styleId="1191" w:customStyle="1">
    <w:name w:val="正文首行缩进 字符"/>
    <w:link w:val="1190"/>
    <w:uiPriority w:val="0"/>
    <w:qFormat/>
    <w:rPr>
      <w:rFonts w:ascii="仿宋_GB2312" w:hAnsi="Times New Roman" w:eastAsia="仿宋_GB2312" w:cs="Times New Roman"/>
      <w:sz w:val="30"/>
      <w:szCs w:val="30"/>
    </w:rPr>
  </w:style>
  <w:style w:type="character" w:styleId="1192" w:customStyle="1">
    <w:name w:val="正文首行缩进 2 字符"/>
    <w:link w:val="975"/>
    <w:uiPriority w:val="0"/>
    <w:qFormat/>
    <w:rPr>
      <w:rFonts w:ascii="宋体" w:hAnsi="宋体" w:eastAsia="宋体" w:cs="Times New Roman"/>
      <w:szCs w:val="20"/>
    </w:rPr>
  </w:style>
  <w:style w:type="table" w:styleId="1193" w:customStyle="1">
    <w:name w:val="网格型1"/>
    <w:basedOn w:val="1136"/>
    <w:uiPriority w:val="0"/>
    <w:qFormat/>
    <w:pPr>
      <w:jc w:val="both"/>
      <w:widowControl w:val="off"/>
    </w:pPr>
    <w:tblPr>
      <w:tblCellMar>
        <w:left w:w="0" w:type="dxa"/>
        <w:top w:w="0" w:type="dxa"/>
        <w:right w:w="0" w:type="dxa"/>
        <w:bottom w:w="0" w:type="dxa"/>
      </w:tblCellMar>
    </w:tblPr>
  </w:style>
  <w:style w:type="character" w:styleId="1194" w:customStyle="1">
    <w:name w:val="要点1"/>
    <w:uiPriority w:val="0"/>
    <w:qFormat/>
    <w:rPr>
      <w:b/>
      <w:bCs/>
    </w:rPr>
  </w:style>
  <w:style w:type="character" w:styleId="1195" w:customStyle="1">
    <w:name w:val="页码1"/>
    <w:uiPriority w:val="0"/>
    <w:qFormat/>
  </w:style>
  <w:style w:type="character" w:styleId="1196" w:customStyle="1">
    <w:name w:val="已访问的超链接1"/>
    <w:uiPriority w:val="0"/>
    <w:qFormat/>
    <w:rPr>
      <w:color w:val="800080"/>
      <w:u w:val="single"/>
    </w:rPr>
  </w:style>
  <w:style w:type="character" w:styleId="1197" w:customStyle="1">
    <w:name w:val="超链接1"/>
    <w:uiPriority w:val="0"/>
    <w:qFormat/>
    <w:rPr>
      <w:color w:val="0000ff"/>
      <w:u w:val="single"/>
    </w:rPr>
  </w:style>
  <w:style w:type="character" w:styleId="1198" w:customStyle="1">
    <w:name w:val="批注引用1"/>
    <w:uiPriority w:val="0"/>
    <w:semiHidden/>
    <w:qFormat/>
    <w:rPr>
      <w:sz w:val="21"/>
      <w:szCs w:val="21"/>
    </w:rPr>
  </w:style>
  <w:style w:type="paragraph" w:styleId="1199"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1200" w:customStyle="1">
    <w:name w:val="正文文本缩进 211"/>
    <w:basedOn w:val="932"/>
    <w:uiPriority w:val="0"/>
    <w:qFormat/>
    <w:pPr>
      <w:ind w:firstLine="630"/>
      <w:spacing w:before="120"/>
      <w:tabs>
        <w:tab w:val="left" w:pos="0" w:leader="none"/>
      </w:tabs>
    </w:pPr>
    <w:rPr>
      <w:bCs/>
    </w:rPr>
  </w:style>
  <w:style w:type="paragraph" w:styleId="1201" w:customStyle="1">
    <w:name w:val="标题 5（有编号）（绿盟科技）"/>
    <w:basedOn w:val="932"/>
    <w:next w:val="1202"/>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202"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03" w:customStyle="1">
    <w:name w:val="列出段落1"/>
    <w:basedOn w:val="932"/>
    <w:link w:val="1204"/>
    <w:uiPriority w:val="0"/>
    <w:qFormat/>
    <w:pPr>
      <w:contextualSpacing/>
      <w:ind w:left="720"/>
      <w:jc w:val="left"/>
      <w:widowControl/>
    </w:pPr>
    <w:rPr>
      <w:rFonts w:ascii="Calibri" w:hAnsi="Calibri"/>
      <w:sz w:val="24"/>
      <w:szCs w:val="24"/>
      <w:lang w:eastAsia="en-US" w:bidi="en-US"/>
    </w:rPr>
  </w:style>
  <w:style w:type="character" w:styleId="1204" w:customStyle="1">
    <w:name w:val="列出段落 Char"/>
    <w:link w:val="1203"/>
    <w:uiPriority w:val="0"/>
    <w:qFormat/>
    <w:rPr>
      <w:rFonts w:ascii="Calibri" w:hAnsi="Calibri"/>
      <w:sz w:val="24"/>
      <w:szCs w:val="24"/>
      <w:lang w:eastAsia="en-US" w:bidi="en-US"/>
    </w:rPr>
  </w:style>
  <w:style w:type="character" w:styleId="1205" w:customStyle="1">
    <w:name w:val="font5 Char"/>
    <w:uiPriority w:val="0"/>
    <w:qFormat/>
    <w:rPr>
      <w:rFonts w:ascii="宋体" w:hAnsi="宋体" w:eastAsia="宋体"/>
      <w:sz w:val="28"/>
      <w:szCs w:val="28"/>
      <w:lang w:val="en-US" w:eastAsia="zh-CN" w:bidi="ar-SA"/>
    </w:rPr>
  </w:style>
  <w:style w:type="character" w:styleId="1206" w:customStyle="1">
    <w:name w:val="二级目录 Char"/>
    <w:link w:val="1207"/>
    <w:uiPriority w:val="0"/>
    <w:qFormat/>
    <w:rPr>
      <w:b/>
      <w:sz w:val="30"/>
      <w:szCs w:val="28"/>
    </w:rPr>
  </w:style>
  <w:style w:type="paragraph" w:styleId="1207" w:customStyle="1">
    <w:name w:val="二级目录"/>
    <w:next w:val="932"/>
    <w:link w:val="120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208" w:customStyle="1">
    <w:name w:val="Body Text(ch)"/>
    <w:basedOn w:val="932"/>
    <w:next w:val="1155"/>
    <w:uiPriority w:val="0"/>
    <w:qFormat/>
    <w:pPr>
      <w:spacing w:after="120"/>
    </w:pPr>
    <w:rPr>
      <w:rFonts w:ascii="宋体" w:hAnsi="Arial"/>
      <w:bCs/>
      <w:iCs/>
      <w:szCs w:val="24"/>
    </w:rPr>
  </w:style>
  <w:style w:type="paragraph" w:styleId="1209" w:customStyle="1">
    <w:name w:val="xl27"/>
    <w:basedOn w:val="9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0" w:customStyle="1">
    <w:name w:val="xl26"/>
    <w:basedOn w:val="9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1" w:customStyle="1">
    <w:name w:val="Char"/>
    <w:basedOn w:val="932"/>
    <w:uiPriority w:val="0"/>
    <w:qFormat/>
    <w:pPr>
      <w:ind w:firstLine="200"/>
      <w:tabs>
        <w:tab w:val="left" w:pos="360" w:leader="none"/>
      </w:tabs>
    </w:pPr>
    <w:rPr>
      <w:sz w:val="28"/>
      <w:szCs w:val="30"/>
    </w:rPr>
  </w:style>
  <w:style w:type="paragraph" w:styleId="1212" w:customStyle="1">
    <w:name w:val="Char1"/>
    <w:basedOn w:val="1149"/>
    <w:uiPriority w:val="0"/>
    <w:qFormat/>
    <w:rPr>
      <w:rFonts w:ascii="Tahoma" w:hAnsi="Tahoma"/>
      <w:sz w:val="24"/>
      <w:szCs w:val="24"/>
    </w:rPr>
  </w:style>
  <w:style w:type="paragraph" w:styleId="1213" w:customStyle="1">
    <w:name w:val="普通正文"/>
    <w:basedOn w:val="932"/>
    <w:uiPriority w:val="0"/>
    <w:qFormat/>
    <w:pPr>
      <w:ind w:firstLine="480"/>
      <w:jc w:val="left"/>
      <w:spacing w:before="120" w:after="120" w:line="360" w:lineRule="auto"/>
    </w:pPr>
    <w:rPr>
      <w:rFonts w:ascii="Arial" w:hAnsi="Arial"/>
      <w:sz w:val="24"/>
      <w:szCs w:val="24"/>
    </w:rPr>
  </w:style>
  <w:style w:type="paragraph" w:styleId="1214" w:customStyle="1">
    <w:name w:val="table_lines"/>
    <w:basedOn w:val="932"/>
    <w:uiPriority w:val="0"/>
    <w:qFormat/>
    <w:pPr>
      <w:jc w:val="left"/>
      <w:widowControl/>
    </w:pPr>
    <w:rPr>
      <w:sz w:val="20"/>
      <w:szCs w:val="20"/>
      <w:lang w:val="de-DE" w:eastAsia="de-DE"/>
    </w:rPr>
  </w:style>
  <w:style w:type="paragraph" w:styleId="1215"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216" w:customStyle="1">
    <w:name w:val="font7"/>
    <w:basedOn w:val="932"/>
    <w:uiPriority w:val="0"/>
    <w:qFormat/>
    <w:pPr>
      <w:jc w:val="left"/>
      <w:spacing w:before="100" w:beforeAutospacing="1" w:after="100" w:afterAutospacing="1"/>
      <w:widowControl/>
    </w:pPr>
    <w:rPr>
      <w:rFonts w:hint="eastAsia" w:ascii="宋体" w:hAnsi="宋体"/>
      <w:sz w:val="18"/>
      <w:szCs w:val="18"/>
    </w:rPr>
  </w:style>
  <w:style w:type="paragraph" w:styleId="1217" w:customStyle="1">
    <w:name w:val="Char Char Char Char"/>
    <w:basedOn w:val="1149"/>
    <w:uiPriority w:val="0"/>
    <w:qFormat/>
    <w:pPr>
      <w:spacing w:line="360" w:lineRule="auto"/>
    </w:pPr>
    <w:rPr>
      <w:rFonts w:ascii="Tahoma" w:hAnsi="Tahoma"/>
      <w:sz w:val="24"/>
      <w:szCs w:val="24"/>
    </w:rPr>
  </w:style>
  <w:style w:type="paragraph" w:styleId="1218" w:customStyle="1">
    <w:name w:val="列出段落2"/>
    <w:basedOn w:val="932"/>
    <w:uiPriority w:val="0"/>
    <w:qFormat/>
    <w:pPr>
      <w:contextualSpacing/>
      <w:ind w:left="720"/>
      <w:jc w:val="left"/>
      <w:widowControl/>
    </w:pPr>
    <w:rPr>
      <w:rFonts w:ascii="Calibri" w:hAnsi="Calibri"/>
      <w:sz w:val="24"/>
      <w:szCs w:val="24"/>
      <w:lang w:eastAsia="en-US" w:bidi="en-US"/>
    </w:rPr>
  </w:style>
  <w:style w:type="paragraph" w:styleId="1219" w:customStyle="1">
    <w:name w:val="4"/>
    <w:basedOn w:val="932"/>
    <w:next w:val="1179"/>
    <w:uiPriority w:val="0"/>
    <w:qFormat/>
    <w:pPr>
      <w:ind w:firstLine="420"/>
      <w:spacing w:line="360" w:lineRule="auto"/>
    </w:pPr>
    <w:rPr>
      <w:color w:val="ff0000"/>
      <w:sz w:val="24"/>
      <w:szCs w:val="24"/>
    </w:rPr>
  </w:style>
  <w:style w:type="paragraph" w:styleId="1220" w:customStyle="1">
    <w:name w:val="普通 (Web)"/>
    <w:basedOn w:val="932"/>
    <w:uiPriority w:val="0"/>
    <w:qFormat/>
    <w:pPr>
      <w:jc w:val="left"/>
      <w:spacing w:before="100" w:beforeAutospacing="1" w:after="100" w:afterAutospacing="1"/>
      <w:widowControl/>
    </w:pPr>
    <w:rPr>
      <w:rFonts w:ascii="宋体" w:hAnsi="宋体"/>
      <w:sz w:val="24"/>
      <w:szCs w:val="24"/>
    </w:rPr>
  </w:style>
  <w:style w:type="paragraph" w:styleId="1221" w:customStyle="1">
    <w:name w:val="Char Char Char Char Char Char Char Char Char Char"/>
    <w:basedOn w:val="932"/>
    <w:uiPriority w:val="0"/>
    <w:qFormat/>
    <w:pPr>
      <w:spacing w:line="360" w:lineRule="auto"/>
    </w:pPr>
    <w:rPr>
      <w:sz w:val="24"/>
      <w:szCs w:val="20"/>
    </w:rPr>
  </w:style>
  <w:style w:type="paragraph" w:styleId="1222" w:customStyle="1">
    <w:name w:val="样式1"/>
    <w:basedOn w:val="932"/>
    <w:uiPriority w:val="0"/>
    <w:qFormat/>
    <w:pPr>
      <w:numPr>
        <w:ilvl w:val="0"/>
        <w:numId w:val="4"/>
      </w:numPr>
    </w:pPr>
    <w:rPr>
      <w:rFonts w:ascii="宋体" w:hAnsi="宋体"/>
      <w:szCs w:val="21"/>
    </w:rPr>
  </w:style>
  <w:style w:type="paragraph" w:styleId="1223" w:customStyle="1">
    <w:name w:val="font6"/>
    <w:basedOn w:val="932"/>
    <w:uiPriority w:val="0"/>
    <w:qFormat/>
    <w:pPr>
      <w:jc w:val="left"/>
      <w:spacing w:before="100" w:beforeAutospacing="1" w:after="100" w:afterAutospacing="1"/>
      <w:widowControl/>
    </w:pPr>
    <w:rPr>
      <w:rFonts w:hint="eastAsia" w:ascii="宋体" w:hAnsi="宋体"/>
      <w:sz w:val="28"/>
      <w:szCs w:val="28"/>
      <w:u w:val="single"/>
    </w:rPr>
  </w:style>
  <w:style w:type="paragraph" w:styleId="1224" w:customStyle="1">
    <w:name w:val="xl25"/>
    <w:basedOn w:val="9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5" w:customStyle="1">
    <w:name w:val="图标"/>
    <w:basedOn w:val="932"/>
    <w:next w:val="9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6" w:customStyle="1">
    <w:name w:val="标题3"/>
    <w:basedOn w:val="932"/>
    <w:next w:val="932"/>
    <w:uiPriority w:val="0"/>
    <w:qFormat/>
    <w:pPr>
      <w:ind w:firstLine="624"/>
      <w:spacing w:line="590" w:lineRule="atLeast"/>
    </w:pPr>
    <w:rPr>
      <w:rFonts w:ascii="方正黑体_GBK" w:eastAsia="方正黑体_GBK"/>
      <w:sz w:val="32"/>
      <w:szCs w:val="32"/>
    </w:rPr>
  </w:style>
  <w:style w:type="paragraph" w:styleId="1227" w:customStyle="1">
    <w:name w:val="xl24"/>
    <w:basedOn w:val="9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8" w:customStyle="1">
    <w:name w:val="xl29"/>
    <w:basedOn w:val="9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9" w:customStyle="1">
    <w:name w:val="Char Char Char Char Char Char Char Char"/>
    <w:basedOn w:val="932"/>
    <w:uiPriority w:val="0"/>
    <w:qFormat/>
    <w:pPr>
      <w:jc w:val="left"/>
      <w:spacing w:after="160" w:line="240" w:lineRule="exact"/>
      <w:widowControl/>
    </w:pPr>
    <w:rPr>
      <w:rFonts w:ascii="Verdana" w:hAnsi="Verdana"/>
      <w:sz w:val="20"/>
      <w:szCs w:val="20"/>
      <w:lang w:eastAsia="en-US"/>
    </w:rPr>
  </w:style>
  <w:style w:type="paragraph" w:styleId="1230" w:customStyle="1">
    <w:name w:val="xl28"/>
    <w:basedOn w:val="9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1" w:customStyle="1">
    <w:name w:val="Char Char Char Char Char Char Char Char1"/>
    <w:basedOn w:val="932"/>
    <w:uiPriority w:val="0"/>
    <w:qFormat/>
    <w:pPr>
      <w:jc w:val="left"/>
      <w:spacing w:after="160" w:line="240" w:lineRule="exact"/>
      <w:widowControl/>
    </w:pPr>
    <w:rPr>
      <w:rFonts w:ascii="Verdana" w:hAnsi="Verdana"/>
      <w:sz w:val="20"/>
      <w:szCs w:val="20"/>
      <w:lang w:eastAsia="en-US"/>
    </w:rPr>
  </w:style>
  <w:style w:type="paragraph" w:styleId="1232" w:customStyle="1">
    <w:name w:val="xl30"/>
    <w:basedOn w:val="932"/>
    <w:uiPriority w:val="0"/>
    <w:qFormat/>
    <w:pPr>
      <w:jc w:val="center"/>
      <w:spacing w:before="100" w:beforeAutospacing="1" w:after="100" w:afterAutospacing="1"/>
      <w:widowControl/>
    </w:pPr>
    <w:rPr>
      <w:rFonts w:ascii="宋体" w:hAnsi="宋体"/>
      <w:b/>
      <w:bCs/>
      <w:sz w:val="36"/>
      <w:szCs w:val="36"/>
    </w:rPr>
  </w:style>
  <w:style w:type="paragraph" w:styleId="1233" w:customStyle="1">
    <w:name w:val="Char Char Char Char1"/>
    <w:basedOn w:val="1149"/>
    <w:uiPriority w:val="0"/>
    <w:qFormat/>
    <w:pPr>
      <w:spacing w:line="360" w:lineRule="auto"/>
    </w:pPr>
    <w:rPr>
      <w:rFonts w:ascii="Tahoma" w:hAnsi="Tahoma"/>
      <w:sz w:val="24"/>
      <w:szCs w:val="24"/>
    </w:rPr>
  </w:style>
  <w:style w:type="paragraph" w:styleId="1234" w:customStyle="1">
    <w:name w:val="table_1stline"/>
    <w:basedOn w:val="932"/>
    <w:uiPriority w:val="0"/>
    <w:qFormat/>
    <w:pPr>
      <w:jc w:val="left"/>
      <w:spacing w:before="120"/>
      <w:widowControl/>
    </w:pPr>
    <w:rPr>
      <w:bCs/>
      <w:sz w:val="20"/>
      <w:szCs w:val="20"/>
      <w:lang w:val="de-DE" w:eastAsia="de-DE"/>
    </w:rPr>
  </w:style>
  <w:style w:type="paragraph" w:styleId="1235" w:customStyle="1">
    <w:name w:val="font5"/>
    <w:basedOn w:val="932"/>
    <w:uiPriority w:val="0"/>
    <w:qFormat/>
    <w:pPr>
      <w:jc w:val="left"/>
      <w:spacing w:before="100" w:beforeAutospacing="1" w:after="100" w:afterAutospacing="1"/>
      <w:widowControl/>
    </w:pPr>
    <w:rPr>
      <w:rFonts w:hint="eastAsia" w:ascii="宋体" w:hAnsi="宋体"/>
      <w:sz w:val="28"/>
      <w:szCs w:val="28"/>
    </w:rPr>
  </w:style>
  <w:style w:type="paragraph" w:styleId="1236" w:customStyle="1">
    <w:name w:val="标题1"/>
    <w:basedOn w:val="932"/>
    <w:next w:val="9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7" w:customStyle="1">
    <w:name w:val="修订1"/>
    <w:uiPriority w:val="99"/>
    <w:semiHidden/>
    <w:qFormat/>
    <w:rPr>
      <w:rFonts w:ascii="Times New Roman" w:hAnsi="Times New Roman" w:eastAsia="宋体" w:cs="Times New Roman"/>
      <w:sz w:val="21"/>
      <w:szCs w:val="21"/>
      <w:lang w:val="en-US" w:eastAsia="zh-CN" w:bidi="ar-SA"/>
    </w:rPr>
  </w:style>
  <w:style w:type="paragraph" w:styleId="123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39" w:customStyle="1">
    <w:name w:val="标题 21"/>
    <w:basedOn w:val="932"/>
    <w:next w:val="932"/>
    <w:uiPriority w:val="0"/>
    <w:qFormat/>
    <w:pPr>
      <w:numPr>
        <w:ilvl w:val="1"/>
        <w:numId w:val="5"/>
      </w:numPr>
      <w:keepLines/>
      <w:keepNext/>
      <w:spacing w:line="360" w:lineRule="auto"/>
      <w:outlineLvl w:val="1"/>
    </w:pPr>
    <w:rPr>
      <w:rFonts w:ascii="Arial" w:hAnsi="Arial" w:eastAsia="黑体"/>
      <w:b/>
      <w:bCs/>
      <w:sz w:val="32"/>
      <w:szCs w:val="32"/>
    </w:rPr>
  </w:style>
  <w:style w:type="paragraph" w:styleId="1240">
    <w:name w:val="List Paragraph"/>
    <w:basedOn w:val="932"/>
    <w:uiPriority w:val="34"/>
    <w:qFormat/>
    <w:pPr>
      <w:ind w:firstLine="420"/>
    </w:pPr>
  </w:style>
  <w:style w:type="character" w:styleId="1241" w:customStyle="1">
    <w:name w:val="font41"/>
    <w:uiPriority w:val="0"/>
    <w:qFormat/>
    <w:rPr>
      <w:rFonts w:hint="eastAsia" w:ascii="宋体" w:hAnsi="宋体" w:eastAsia="宋体" w:cs="宋体"/>
      <w:color w:val="000000"/>
      <w:sz w:val="20"/>
      <w:szCs w:val="20"/>
      <w:u w:val="none"/>
    </w:rPr>
  </w:style>
  <w:style w:type="paragraph" w:styleId="1242" w:customStyle="1">
    <w:name w:val="样式 行距: 固定值 28.9 磅"/>
    <w:basedOn w:val="932"/>
    <w:uiPriority w:val="0"/>
    <w:qFormat/>
    <w:pPr>
      <w:spacing w:line="578" w:lineRule="exact"/>
    </w:pPr>
    <w:rPr>
      <w:rFonts w:cs="宋体"/>
      <w:szCs w:val="20"/>
    </w:rPr>
  </w:style>
  <w:style w:type="paragraph" w:styleId="1243" w:customStyle="1">
    <w:name w:val="段"/>
    <w:next w:val="932"/>
    <w:uiPriority w:val="0"/>
    <w:qFormat/>
    <w:pPr>
      <w:ind w:firstLine="200"/>
      <w:jc w:val="both"/>
    </w:pPr>
    <w:rPr>
      <w:rFonts w:ascii="宋体" w:hAnsi="Calibri" w:eastAsia="宋体" w:cs="Times New Roman"/>
      <w:sz w:val="21"/>
      <w:szCs w:val="22"/>
      <w:lang w:val="en-US" w:eastAsia="zh-CN" w:bidi="ar-SA"/>
    </w:rPr>
  </w:style>
  <w:style w:type="paragraph" w:styleId="1244"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1245" w:customStyle="1">
    <w:name w:val="Table Paragraph"/>
    <w:basedOn w:val="932"/>
    <w:uiPriority w:val="1"/>
    <w:qFormat/>
    <w:pPr>
      <w:jc w:val="left"/>
    </w:pPr>
    <w:rPr>
      <w:rFonts w:ascii="宋体" w:hAnsi="宋体" w:cs="宋体"/>
      <w:sz w:val="22"/>
      <w:lang w:eastAsia="en-US"/>
    </w:rPr>
  </w:style>
  <w:style w:type="paragraph" w:styleId="1246" w:customStyle="1">
    <w:name w:val="页脚1"/>
    <w:basedOn w:val="932"/>
    <w:uiPriority w:val="0"/>
    <w:qFormat/>
    <w:pPr>
      <w:jc w:val="left"/>
      <w:tabs>
        <w:tab w:val="center" w:pos="4153" w:leader="none"/>
        <w:tab w:val="right" w:pos="8306" w:leader="none"/>
      </w:tabs>
    </w:pPr>
    <w:rPr>
      <w:sz w:val="18"/>
      <w:szCs w:val="18"/>
    </w:rPr>
  </w:style>
  <w:style w:type="paragraph" w:styleId="1247" w:customStyle="1">
    <w:name w:val="页脚11"/>
    <w:basedOn w:val="932"/>
    <w:uiPriority w:val="99"/>
    <w:unhideWhenUsed/>
    <w:qFormat/>
    <w:pPr>
      <w:tabs>
        <w:tab w:val="center" w:pos="7143" w:leader="none"/>
        <w:tab w:val="right" w:pos="14287" w:leader="none"/>
      </w:tabs>
    </w:pPr>
  </w:style>
  <w:style w:type="paragraph" w:styleId="1248" w:customStyle="1">
    <w:name w:val="首行缩进"/>
    <w:basedOn w:val="932"/>
    <w:uiPriority w:val="99"/>
    <w:qFormat/>
    <w:pPr>
      <w:ind w:firstLine="480"/>
      <w:jc w:val="left"/>
      <w:spacing w:line="360" w:lineRule="auto"/>
    </w:pPr>
    <w:rPr>
      <w:rFonts w:ascii="宋体" w:hAnsi="宋体" w:eastAsia="楷体_GB2312"/>
      <w:sz w:val="24"/>
      <w:szCs w:val="20"/>
    </w:rPr>
  </w:style>
  <w:style w:type="character" w:styleId="1249" w:customStyle="1">
    <w:name w:val="NormalCharacter1"/>
    <w:uiPriority w:val="99"/>
    <w:qFormat/>
    <w:rPr>
      <w:rFonts w:ascii="Calibri" w:hAnsi="Calibri" w:eastAsia="宋体"/>
    </w:rPr>
  </w:style>
  <w:style w:type="character" w:styleId="1250" w:customStyle="1">
    <w:name w:val="NormalCharacter"/>
    <w:uiPriority w:val="0"/>
    <w:qFormat/>
  </w:style>
  <w:style w:type="paragraph" w:styleId="1251" w:customStyle="1">
    <w:name w:val="UserStyle_6"/>
    <w:uiPriority w:val="0"/>
    <w:qFormat/>
    <w:rPr>
      <w:rFonts w:ascii="宋体" w:hAnsi="Calibri" w:eastAsia="宋体" w:cstheme="minorBidi"/>
      <w:color w:val="000000"/>
      <w:sz w:val="24"/>
      <w:szCs w:val="24"/>
      <w:lang w:val="en-US" w:eastAsia="zh-CN" w:bidi="ar-SA"/>
    </w:rPr>
  </w:style>
  <w:style w:type="paragraph" w:styleId="1252" w:customStyle="1">
    <w:name w:val=".o.a"/>
    <w:basedOn w:val="1199"/>
    <w:next w:val="1199"/>
    <w:uiPriority w:val="0"/>
    <w:qFormat/>
    <w:rPr>
      <w:rFonts w:ascii="宋体" w:eastAsia="宋体"/>
      <w:color w:val="auto"/>
    </w:rPr>
  </w:style>
  <w:style w:type="paragraph" w:styleId="1253"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254" w:customStyle="1">
    <w:name w:val="批注文字 Char"/>
    <w:basedOn w:val="942"/>
    <w:link w:val="946"/>
    <w:uiPriority w:val="99"/>
    <w:semiHidden/>
    <w:qFormat/>
    <w:rPr>
      <w:sz w:val="21"/>
      <w:szCs w:val="22"/>
    </w:rPr>
  </w:style>
  <w:style w:type="character" w:styleId="1255" w:customStyle="1">
    <w:name w:val="批注主题 Char"/>
    <w:basedOn w:val="1254"/>
    <w:link w:val="967"/>
    <w:uiPriority w:val="99"/>
    <w:semiHidden/>
    <w:qFormat/>
    <w:rPr>
      <w:b/>
      <w:bCs/>
      <w:sz w:val="21"/>
      <w:szCs w:val="22"/>
    </w:rPr>
  </w:style>
  <w:style w:type="character" w:styleId="1256" w:customStyle="1">
    <w:name w:val="font21"/>
    <w:basedOn w:val="942"/>
    <w:uiPriority w:val="0"/>
    <w:qFormat/>
    <w:rPr>
      <w:rFonts w:hint="eastAsia" w:ascii="宋体" w:hAnsi="宋体" w:eastAsia="宋体" w:cs="宋体"/>
      <w:color w:val="000000"/>
      <w:sz w:val="20"/>
      <w:szCs w:val="20"/>
      <w:u w:val="none"/>
    </w:rPr>
  </w:style>
  <w:style w:type="character" w:styleId="1257" w:customStyle="1">
    <w:name w:val="font51"/>
    <w:basedOn w:val="942"/>
    <w:uiPriority w:val="0"/>
    <w:qFormat/>
    <w:rPr>
      <w:rFonts w:hint="eastAsia" w:ascii="宋体" w:hAnsi="宋体" w:eastAsia="宋体" w:cs="宋体"/>
      <w:color w:val="000000"/>
      <w:sz w:val="12"/>
      <w:szCs w:val="12"/>
      <w:u w:val="none"/>
    </w:rPr>
  </w:style>
  <w:style w:type="character" w:styleId="1258" w:customStyle="1">
    <w:name w:val="font11"/>
    <w:basedOn w:val="942"/>
    <w:uiPriority w:val="0"/>
    <w:qFormat/>
    <w:rPr>
      <w:rFonts w:hint="eastAsia" w:ascii="宋体" w:hAnsi="宋体" w:eastAsia="宋体" w:cs="宋体"/>
      <w:color w:val="000000"/>
      <w:sz w:val="20"/>
      <w:szCs w:val="20"/>
      <w:u w:val="none"/>
    </w:rPr>
  </w:style>
  <w:style w:type="numbering" w:styleId="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8"/>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15</cp:revision>
  <dcterms:created xsi:type="dcterms:W3CDTF">2025-10-11T01:17:00Z</dcterms:created>
  <dcterms:modified xsi:type="dcterms:W3CDTF">2025-11-20T08:05:14Z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BE9436E08D43441B824B761AD4A834C1_13</vt:lpwstr>
  </property>
  <property fmtid="{D5CDD505-2E9C-101B-9397-08002B2CF9AE}" pid="4" name="KSOTemplateDocerSaveRecord">
    <vt:lpwstr>eyJoZGlkIjoiODEzMGZhOTJjMzJkMzhjMDMwOTg5NzdlZGNmY2FiMWEiLCJ1c2VySWQiOiIzODEzNTcxNTUifQ==</vt:lpwstr>
  </property>
</Properties>
</file>